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92D8" w14:textId="7C4E636F" w:rsidR="00657AC6" w:rsidRPr="00441563" w:rsidRDefault="00431739" w:rsidP="004753AA">
      <w:pPr>
        <w:jc w:val="center"/>
        <w:rPr>
          <w:b/>
          <w:sz w:val="32"/>
          <w:szCs w:val="32"/>
        </w:rPr>
      </w:pPr>
      <w:r>
        <w:rPr>
          <w:b/>
          <w:sz w:val="32"/>
          <w:szCs w:val="32"/>
        </w:rPr>
        <w:t>Synapses with h</w:t>
      </w:r>
      <w:r w:rsidR="00310DEE">
        <w:rPr>
          <w:b/>
          <w:sz w:val="32"/>
          <w:szCs w:val="32"/>
        </w:rPr>
        <w:t>omo/</w:t>
      </w:r>
      <w:r>
        <w:rPr>
          <w:b/>
          <w:sz w:val="32"/>
          <w:szCs w:val="32"/>
        </w:rPr>
        <w:t>h</w:t>
      </w:r>
      <w:r w:rsidR="00C65173">
        <w:rPr>
          <w:b/>
          <w:sz w:val="32"/>
          <w:szCs w:val="32"/>
        </w:rPr>
        <w:t>etero</w:t>
      </w:r>
      <w:r w:rsidR="00310DEE">
        <w:rPr>
          <w:b/>
          <w:sz w:val="32"/>
          <w:szCs w:val="32"/>
        </w:rPr>
        <w:t>-synaptic plasticity</w:t>
      </w:r>
      <w:r w:rsidR="00AE3275">
        <w:rPr>
          <w:b/>
          <w:sz w:val="32"/>
          <w:szCs w:val="32"/>
        </w:rPr>
        <w:t xml:space="preserve"> </w:t>
      </w:r>
      <w:r w:rsidR="002075FD">
        <w:rPr>
          <w:b/>
          <w:sz w:val="32"/>
          <w:szCs w:val="32"/>
        </w:rPr>
        <w:t xml:space="preserve">enabled by ferroelectric polarization </w:t>
      </w:r>
      <w:r w:rsidR="0036593F">
        <w:rPr>
          <w:b/>
          <w:sz w:val="32"/>
          <w:szCs w:val="32"/>
        </w:rPr>
        <w:t>modulat</w:t>
      </w:r>
      <w:r w:rsidR="002075FD">
        <w:rPr>
          <w:b/>
          <w:sz w:val="32"/>
          <w:szCs w:val="32"/>
        </w:rPr>
        <w:t>ed</w:t>
      </w:r>
      <w:r w:rsidR="0036593F">
        <w:rPr>
          <w:b/>
          <w:sz w:val="32"/>
          <w:szCs w:val="32"/>
        </w:rPr>
        <w:t xml:space="preserve"> Schottky diodes</w:t>
      </w:r>
    </w:p>
    <w:p w14:paraId="2684DFB7" w14:textId="52873AA2" w:rsidR="00996D8E" w:rsidRPr="00996D8E" w:rsidRDefault="00551D4D" w:rsidP="00996D8E">
      <w:pPr>
        <w:pStyle w:val="MCAuthorAffiliation"/>
        <w:jc w:val="both"/>
        <w:rPr>
          <w:rFonts w:ascii="Times New Roman" w:hAnsi="Times New Roman"/>
          <w:b/>
          <w:i w:val="0"/>
          <w:sz w:val="20"/>
        </w:rPr>
      </w:pPr>
      <w:r>
        <w:rPr>
          <w:rFonts w:ascii="Times New Roman" w:hAnsi="Times New Roman"/>
          <w:b/>
          <w:i w:val="0"/>
          <w:sz w:val="20"/>
        </w:rPr>
        <w:t>Andreas</w:t>
      </w:r>
      <w:r w:rsidR="00614CD5" w:rsidRPr="001A7FB2">
        <w:rPr>
          <w:rFonts w:ascii="Times New Roman" w:hAnsi="Times New Roman"/>
          <w:b/>
          <w:i w:val="0"/>
          <w:sz w:val="20"/>
        </w:rPr>
        <w:t xml:space="preserve"> </w:t>
      </w:r>
      <w:r>
        <w:rPr>
          <w:rFonts w:ascii="Times New Roman" w:hAnsi="Times New Roman"/>
          <w:b/>
          <w:i w:val="0"/>
          <w:sz w:val="20"/>
        </w:rPr>
        <w:t>Grenmyr</w:t>
      </w:r>
      <w:r w:rsidR="006077D3">
        <w:rPr>
          <w:rFonts w:ascii="Times New Roman" w:hAnsi="Times New Roman"/>
          <w:b/>
          <w:i w:val="0"/>
          <w:sz w:val="20"/>
          <w:vertAlign w:val="superscript"/>
        </w:rPr>
        <w:t>1,2</w:t>
      </w:r>
      <w:r w:rsidR="00614CD5" w:rsidRPr="001A7FB2">
        <w:rPr>
          <w:rFonts w:ascii="Times New Roman" w:hAnsi="Times New Roman"/>
          <w:b/>
          <w:i w:val="0"/>
          <w:sz w:val="20"/>
        </w:rPr>
        <w:t xml:space="preserve">, </w:t>
      </w:r>
      <w:r>
        <w:rPr>
          <w:rFonts w:ascii="Times New Roman" w:hAnsi="Times New Roman"/>
          <w:b/>
          <w:i w:val="0"/>
          <w:sz w:val="20"/>
        </w:rPr>
        <w:t>Jiayuan Zhang</w:t>
      </w:r>
      <w:r w:rsidR="006077D3">
        <w:rPr>
          <w:rFonts w:ascii="Times New Roman" w:hAnsi="Times New Roman"/>
          <w:b/>
          <w:i w:val="0"/>
          <w:sz w:val="20"/>
          <w:vertAlign w:val="superscript"/>
        </w:rPr>
        <w:t>1,2</w:t>
      </w:r>
      <w:r w:rsidR="001A7FB2" w:rsidRPr="001A7FB2">
        <w:rPr>
          <w:rFonts w:ascii="Times New Roman" w:hAnsi="Times New Roman"/>
          <w:b/>
          <w:i w:val="0"/>
          <w:sz w:val="20"/>
        </w:rPr>
        <w:t>,</w:t>
      </w:r>
      <w:r>
        <w:rPr>
          <w:rFonts w:ascii="Times New Roman" w:hAnsi="Times New Roman"/>
          <w:b/>
          <w:i w:val="0"/>
          <w:sz w:val="20"/>
        </w:rPr>
        <w:t xml:space="preserve"> Fengben Xi</w:t>
      </w:r>
      <w:r w:rsidR="004753AA">
        <w:rPr>
          <w:rFonts w:ascii="Times New Roman" w:hAnsi="Times New Roman"/>
          <w:b/>
          <w:i w:val="0"/>
          <w:sz w:val="20"/>
          <w:vertAlign w:val="superscript"/>
        </w:rPr>
        <w:t>1</w:t>
      </w:r>
      <w:r>
        <w:rPr>
          <w:rFonts w:ascii="Times New Roman" w:hAnsi="Times New Roman"/>
          <w:b/>
          <w:i w:val="0"/>
          <w:sz w:val="20"/>
        </w:rPr>
        <w:t>,</w:t>
      </w:r>
      <w:r w:rsidR="00AC739F">
        <w:rPr>
          <w:rFonts w:ascii="Times New Roman" w:hAnsi="Times New Roman"/>
          <w:b/>
          <w:i w:val="0"/>
          <w:sz w:val="20"/>
        </w:rPr>
        <w:t xml:space="preserve"> St</w:t>
      </w:r>
      <w:r w:rsidR="006077D3">
        <w:rPr>
          <w:rFonts w:ascii="Times New Roman" w:hAnsi="Times New Roman"/>
          <w:b/>
          <w:i w:val="0"/>
          <w:sz w:val="20"/>
        </w:rPr>
        <w:t>efan Wiefels</w:t>
      </w:r>
      <w:r w:rsidR="004753AA">
        <w:rPr>
          <w:rFonts w:ascii="Times New Roman" w:hAnsi="Times New Roman"/>
          <w:b/>
          <w:i w:val="0"/>
          <w:sz w:val="20"/>
          <w:vertAlign w:val="superscript"/>
        </w:rPr>
        <w:t>3</w:t>
      </w:r>
      <w:r w:rsidR="006077D3">
        <w:rPr>
          <w:rFonts w:ascii="Times New Roman" w:hAnsi="Times New Roman"/>
          <w:b/>
          <w:i w:val="0"/>
          <w:sz w:val="20"/>
        </w:rPr>
        <w:t>, Detlev Grützmacher</w:t>
      </w:r>
      <w:r w:rsidR="004B78CC">
        <w:rPr>
          <w:rFonts w:ascii="Times New Roman" w:hAnsi="Times New Roman"/>
          <w:b/>
          <w:i w:val="0"/>
          <w:sz w:val="20"/>
          <w:vertAlign w:val="superscript"/>
        </w:rPr>
        <w:t>1</w:t>
      </w:r>
      <w:r w:rsidR="002075FD">
        <w:rPr>
          <w:rFonts w:ascii="Times New Roman" w:hAnsi="Times New Roman"/>
          <w:b/>
          <w:i w:val="0"/>
          <w:sz w:val="20"/>
          <w:vertAlign w:val="superscript"/>
        </w:rPr>
        <w:t>,</w:t>
      </w:r>
      <w:r w:rsidR="004753AA">
        <w:rPr>
          <w:rFonts w:ascii="Times New Roman" w:hAnsi="Times New Roman"/>
          <w:b/>
          <w:i w:val="0"/>
          <w:sz w:val="20"/>
          <w:vertAlign w:val="superscript"/>
        </w:rPr>
        <w:t>4</w:t>
      </w:r>
      <w:r w:rsidR="006077D3">
        <w:rPr>
          <w:rFonts w:ascii="Times New Roman" w:hAnsi="Times New Roman"/>
          <w:b/>
          <w:i w:val="0"/>
          <w:sz w:val="20"/>
        </w:rPr>
        <w:t>,</w:t>
      </w:r>
      <w:r w:rsidR="002A3F28">
        <w:rPr>
          <w:rFonts w:ascii="Times New Roman" w:hAnsi="Times New Roman"/>
          <w:b/>
          <w:i w:val="0"/>
          <w:sz w:val="20"/>
        </w:rPr>
        <w:t xml:space="preserve"> </w:t>
      </w:r>
      <w:r w:rsidR="006077D3">
        <w:rPr>
          <w:rFonts w:ascii="Times New Roman" w:hAnsi="Times New Roman"/>
          <w:b/>
          <w:i w:val="0"/>
          <w:sz w:val="20"/>
        </w:rPr>
        <w:t>Qing-Tai Zhao</w:t>
      </w:r>
      <w:r w:rsidR="006077D3">
        <w:rPr>
          <w:rFonts w:ascii="Times New Roman" w:hAnsi="Times New Roman"/>
          <w:b/>
          <w:i w:val="0"/>
          <w:sz w:val="20"/>
          <w:vertAlign w:val="superscript"/>
        </w:rPr>
        <w:t>1</w:t>
      </w:r>
      <w:r w:rsidR="006077D3">
        <w:rPr>
          <w:rFonts w:ascii="Times New Roman" w:hAnsi="Times New Roman"/>
          <w:b/>
          <w:i w:val="0"/>
          <w:sz w:val="20"/>
        </w:rPr>
        <w:t xml:space="preserve"> </w:t>
      </w:r>
    </w:p>
    <w:p w14:paraId="7EEE24E2" w14:textId="120BF470" w:rsidR="002075FD" w:rsidRDefault="006077D3" w:rsidP="004753AA">
      <w:pPr>
        <w:jc w:val="both"/>
        <w:rPr>
          <w:lang w:val="de-DE"/>
        </w:rPr>
      </w:pPr>
      <w:r w:rsidRPr="002A3F28">
        <w:rPr>
          <w:vertAlign w:val="superscript"/>
          <w:lang w:val="de-DE"/>
        </w:rPr>
        <w:t>1</w:t>
      </w:r>
      <w:r w:rsidRPr="002A3F28">
        <w:rPr>
          <w:lang w:val="de-DE"/>
        </w:rPr>
        <w:t xml:space="preserve">Peter Grünberg </w:t>
      </w:r>
      <w:r w:rsidR="002A3F28" w:rsidRPr="002A3F28">
        <w:rPr>
          <w:lang w:val="de-DE"/>
        </w:rPr>
        <w:t>Institute</w:t>
      </w:r>
      <w:r w:rsidR="002075FD">
        <w:rPr>
          <w:lang w:val="de-DE"/>
        </w:rPr>
        <w:t xml:space="preserve"> (PGI-9), Forschungszentrum Jülich, 52428 Jülich, Germany</w:t>
      </w:r>
    </w:p>
    <w:p w14:paraId="31DA3E33" w14:textId="32B2D38C" w:rsidR="006077D3" w:rsidRPr="004753AA" w:rsidRDefault="002A3F28" w:rsidP="004753AA">
      <w:pPr>
        <w:jc w:val="both"/>
      </w:pPr>
      <w:r w:rsidRPr="004753AA">
        <w:rPr>
          <w:vertAlign w:val="superscript"/>
        </w:rPr>
        <w:t>2</w:t>
      </w:r>
      <w:r w:rsidRPr="004753AA">
        <w:t xml:space="preserve"> </w:t>
      </w:r>
      <w:r w:rsidR="000779F7" w:rsidRPr="004753AA">
        <w:t>Faculty of Electrical Engineering and Information Technology, RWTH Aachen University, 52074 Aachen, Germany</w:t>
      </w:r>
    </w:p>
    <w:p w14:paraId="766F6D5C" w14:textId="11BB77BA" w:rsidR="002075FD" w:rsidRPr="002075FD" w:rsidRDefault="002075FD" w:rsidP="004753AA">
      <w:pPr>
        <w:jc w:val="both"/>
        <w:rPr>
          <w:lang w:val="de-DE"/>
        </w:rPr>
      </w:pPr>
      <w:r>
        <w:rPr>
          <w:vertAlign w:val="superscript"/>
          <w:lang w:val="de-DE"/>
        </w:rPr>
        <w:t>3</w:t>
      </w:r>
      <w:r w:rsidR="004753AA">
        <w:rPr>
          <w:lang w:val="de-DE"/>
        </w:rPr>
        <w:t>Peter Grünberg Institute (PGI-7</w:t>
      </w:r>
      <w:r>
        <w:rPr>
          <w:lang w:val="de-DE"/>
        </w:rPr>
        <w:t>), Forschungszentrum Jülich, 52428 Jülich, Germany</w:t>
      </w:r>
    </w:p>
    <w:p w14:paraId="6BA8D711" w14:textId="52C72929" w:rsidR="004753AA" w:rsidRPr="002075FD" w:rsidRDefault="004753AA" w:rsidP="004753AA">
      <w:pPr>
        <w:jc w:val="both"/>
        <w:rPr>
          <w:lang w:val="de-DE"/>
        </w:rPr>
      </w:pPr>
      <w:r>
        <w:rPr>
          <w:vertAlign w:val="superscript"/>
          <w:lang w:val="de-DE"/>
        </w:rPr>
        <w:t>4</w:t>
      </w:r>
      <w:r>
        <w:rPr>
          <w:lang w:val="de-DE"/>
        </w:rPr>
        <w:t>Peter Grünberg Institute (PGI-10), Forschungszentrum Jülich, 52428 Jülich, Germany</w:t>
      </w:r>
    </w:p>
    <w:p w14:paraId="642288A0" w14:textId="77777777" w:rsidR="002A3F28" w:rsidRPr="002A3F28" w:rsidRDefault="002A3F28" w:rsidP="004753AA">
      <w:pPr>
        <w:jc w:val="both"/>
        <w:rPr>
          <w:lang w:val="de-DE"/>
        </w:rPr>
      </w:pPr>
    </w:p>
    <w:p w14:paraId="116A6DD7" w14:textId="7C346A96" w:rsidR="004753AA" w:rsidRPr="004753AA" w:rsidRDefault="00533618" w:rsidP="004753AA">
      <w:pPr>
        <w:pStyle w:val="ListParagraph"/>
        <w:ind w:left="0"/>
        <w:jc w:val="both"/>
        <w:rPr>
          <w:sz w:val="20"/>
          <w:szCs w:val="20"/>
        </w:rPr>
      </w:pPr>
      <w:r w:rsidRPr="004753AA">
        <w:rPr>
          <w:b/>
        </w:rPr>
        <w:t>Summary.</w:t>
      </w:r>
      <w:r w:rsidR="00A62FD5" w:rsidRPr="004753AA">
        <w:t xml:space="preserve"> </w:t>
      </w:r>
      <w:r w:rsidR="004753AA" w:rsidRPr="004753AA">
        <w:rPr>
          <w:sz w:val="20"/>
          <w:szCs w:val="20"/>
        </w:rPr>
        <w:t xml:space="preserve">Several recently proposed synapses suffer from limited linearity or constrained means of weight adjustment, which can be </w:t>
      </w:r>
      <w:r w:rsidR="004371A3" w:rsidRPr="004753AA">
        <w:rPr>
          <w:sz w:val="20"/>
          <w:szCs w:val="20"/>
        </w:rPr>
        <w:t>overcome</w:t>
      </w:r>
      <w:r w:rsidR="004753AA" w:rsidRPr="004753AA">
        <w:rPr>
          <w:sz w:val="20"/>
          <w:szCs w:val="20"/>
        </w:rPr>
        <w:t xml:space="preserve"> by incorporating additional modulating terminals. In this study, we explore the use of ferroelectric Schottky transistors (FE-SBFETs) with either a single or dual gate, which exhibit excellent linearity and demonstrate the potential of the second gate terminal for modulation. The incorporation of multiple gates can enable more sophisticated control of the synapse, resulting in greater flexibility for tuning the synaptic weight. The demonstrated high linearity is critical for precise and accurate weight adjustment, as it allows for a larger number of distinguishable conductive states. Therefore, the incorporation of multiple gates and input terminals represents a promising direction for developing more versatile and high-performance neuromorphic devices.</w:t>
      </w:r>
    </w:p>
    <w:p w14:paraId="2290DB4A" w14:textId="0E2EEF4F" w:rsidR="004753AA" w:rsidRDefault="0082685F" w:rsidP="004753AA">
      <w:pPr>
        <w:jc w:val="both"/>
        <w:rPr>
          <w:sz w:val="22"/>
          <w:szCs w:val="22"/>
        </w:rPr>
      </w:pPr>
      <w:r w:rsidRPr="0082685F">
        <w:t xml:space="preserve"> </w:t>
      </w:r>
    </w:p>
    <w:p w14:paraId="2A412660" w14:textId="177E390C" w:rsidR="008A247C" w:rsidRPr="008A247C" w:rsidRDefault="004753AA" w:rsidP="004753AA">
      <w:pPr>
        <w:jc w:val="both"/>
        <w:rPr>
          <w:sz w:val="22"/>
          <w:szCs w:val="22"/>
        </w:rPr>
      </w:pPr>
      <w:r w:rsidRPr="008A247C">
        <w:rPr>
          <w:noProof/>
          <w:sz w:val="22"/>
          <w:szCs w:val="22"/>
        </w:rPr>
        <w:drawing>
          <wp:anchor distT="0" distB="0" distL="114300" distR="114300" simplePos="0" relativeHeight="251658240" behindDoc="1" locked="0" layoutInCell="1" allowOverlap="1" wp14:anchorId="00C99F06" wp14:editId="605E7C2C">
            <wp:simplePos x="0" y="0"/>
            <wp:positionH relativeFrom="margin">
              <wp:posOffset>492125</wp:posOffset>
            </wp:positionH>
            <wp:positionV relativeFrom="margin">
              <wp:posOffset>4987290</wp:posOffset>
            </wp:positionV>
            <wp:extent cx="4812665" cy="1853565"/>
            <wp:effectExtent l="0" t="0" r="698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uron13.png"/>
                    <pic:cNvPicPr/>
                  </pic:nvPicPr>
                  <pic:blipFill rotWithShape="1">
                    <a:blip r:embed="rId9" cstate="print">
                      <a:extLst>
                        <a:ext uri="{28A0092B-C50C-407E-A947-70E740481C1C}">
                          <a14:useLocalDpi xmlns:a14="http://schemas.microsoft.com/office/drawing/2010/main" val="0"/>
                        </a:ext>
                      </a:extLst>
                    </a:blip>
                    <a:srcRect t="5414" b="2787"/>
                    <a:stretch/>
                  </pic:blipFill>
                  <pic:spPr bwMode="auto">
                    <a:xfrm>
                      <a:off x="0" y="0"/>
                      <a:ext cx="4812665" cy="185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247C" w:rsidRPr="008A247C">
        <w:rPr>
          <w:sz w:val="22"/>
          <w:szCs w:val="22"/>
        </w:rPr>
        <w:t xml:space="preserve"> In recent years, there has been rapid progress in Artificial Intelligence. However, conventional methods rely on standard CMOS technology that suffers from high energy consumption and the Von Neumann Bottleneck, a limitation in data transfer capacity between processing and memory units [1][2]. These issues can be addressed by using neuromorphic devices that mimic the behavior of synapses and neurons in the human brain [2]. One such device is the ferroelectric field-effect transistor (FeFET). Nonetheless, many FeFETs are based on source and drain doping, creating either n-channel or p-channel FeFETs. </w:t>
      </w:r>
      <w:r w:rsidR="008A247C">
        <w:rPr>
          <w:sz w:val="22"/>
          <w:szCs w:val="22"/>
        </w:rPr>
        <w:t>The synaptic behavior is realized by the ferroelectric polarization</w:t>
      </w:r>
      <w:r w:rsidR="00152BF0">
        <w:rPr>
          <w:sz w:val="22"/>
          <w:szCs w:val="22"/>
        </w:rPr>
        <w:t xml:space="preserve"> modulated</w:t>
      </w:r>
      <w:r w:rsidR="00C61550">
        <w:rPr>
          <w:sz w:val="22"/>
          <w:szCs w:val="22"/>
        </w:rPr>
        <w:t xml:space="preserve"> </w:t>
      </w:r>
      <w:r w:rsidR="008A247C">
        <w:rPr>
          <w:sz w:val="22"/>
          <w:szCs w:val="22"/>
        </w:rPr>
        <w:t>channel resistance. However, t</w:t>
      </w:r>
      <w:r w:rsidR="008A247C" w:rsidRPr="008A247C">
        <w:rPr>
          <w:sz w:val="22"/>
          <w:szCs w:val="22"/>
        </w:rPr>
        <w:t xml:space="preserve">his </w:t>
      </w:r>
      <w:r w:rsidR="008A247C">
        <w:rPr>
          <w:sz w:val="22"/>
          <w:szCs w:val="22"/>
        </w:rPr>
        <w:t>device structure</w:t>
      </w:r>
      <w:r w:rsidR="008A247C" w:rsidRPr="008A247C">
        <w:rPr>
          <w:sz w:val="22"/>
          <w:szCs w:val="22"/>
        </w:rPr>
        <w:t xml:space="preserve"> prevents ferroelectric polarization from controlling source/drain resistances, resulting in degraded linearity when applying potentiating or depressing pulses. </w:t>
      </w:r>
      <w:r w:rsidR="008A247C">
        <w:rPr>
          <w:sz w:val="22"/>
          <w:szCs w:val="22"/>
        </w:rPr>
        <w:t>A</w:t>
      </w:r>
      <w:r w:rsidR="008A247C" w:rsidRPr="008A247C">
        <w:rPr>
          <w:sz w:val="22"/>
          <w:szCs w:val="22"/>
        </w:rPr>
        <w:t>s illustrated in Fig.1a, forming Schottky diodes at the drain and source can solve this problem and allow</w:t>
      </w:r>
      <w:r w:rsidR="00C61550">
        <w:rPr>
          <w:sz w:val="22"/>
          <w:szCs w:val="22"/>
        </w:rPr>
        <w:t>s</w:t>
      </w:r>
      <w:r w:rsidR="008A247C" w:rsidRPr="008A247C">
        <w:rPr>
          <w:sz w:val="22"/>
          <w:szCs w:val="22"/>
        </w:rPr>
        <w:t xml:space="preserve"> ferroelectric polarization to control all three resistances, improving linearity, as </w:t>
      </w:r>
      <w:r w:rsidR="008A247C">
        <w:rPr>
          <w:sz w:val="22"/>
          <w:szCs w:val="22"/>
        </w:rPr>
        <w:t>shown in our previous work [3]. T</w:t>
      </w:r>
      <w:r w:rsidR="008A247C" w:rsidRPr="008A247C">
        <w:rPr>
          <w:sz w:val="22"/>
          <w:szCs w:val="22"/>
        </w:rPr>
        <w:t xml:space="preserve">his device can be further </w:t>
      </w:r>
      <w:r w:rsidR="008A247C">
        <w:rPr>
          <w:sz w:val="22"/>
          <w:szCs w:val="22"/>
        </w:rPr>
        <w:t>improved</w:t>
      </w:r>
      <w:r w:rsidR="008A247C" w:rsidRPr="008A247C">
        <w:rPr>
          <w:sz w:val="22"/>
          <w:szCs w:val="22"/>
        </w:rPr>
        <w:t>. Fig. 1b shows a dual top gate that adds a fourth terminal, enabling heterosynaptic behavior where the fourth terminal acts as a modulatory neuron that can impact the synapse's behavior</w:t>
      </w:r>
      <w:r w:rsidR="008A247C">
        <w:rPr>
          <w:sz w:val="22"/>
          <w:szCs w:val="22"/>
        </w:rPr>
        <w:t xml:space="preserve"> [4]</w:t>
      </w:r>
      <w:r w:rsidR="008A247C" w:rsidRPr="008A247C">
        <w:rPr>
          <w:sz w:val="22"/>
          <w:szCs w:val="22"/>
        </w:rPr>
        <w:t>.</w:t>
      </w:r>
    </w:p>
    <w:p w14:paraId="3F1A9330" w14:textId="2069F476" w:rsidR="0076567F" w:rsidRPr="00C555F4" w:rsidRDefault="0076567F" w:rsidP="004753AA">
      <w:pPr>
        <w:jc w:val="both"/>
        <w:rPr>
          <w:sz w:val="22"/>
          <w:szCs w:val="22"/>
        </w:rPr>
      </w:pPr>
      <w:r w:rsidRPr="0076567F">
        <w:rPr>
          <w:noProof/>
          <w:sz w:val="22"/>
          <w:szCs w:val="22"/>
        </w:rPr>
        <w:t xml:space="preserve"> </w:t>
      </w:r>
    </w:p>
    <w:p w14:paraId="3DB56E2D" w14:textId="28F1BB28" w:rsidR="004753AA" w:rsidRPr="00442C14" w:rsidRDefault="004753AA" w:rsidP="004753AA">
      <w:pPr>
        <w:pStyle w:val="Caption"/>
        <w:rPr>
          <w:noProof/>
          <w:sz w:val="22"/>
          <w:szCs w:val="20"/>
        </w:rPr>
      </w:pPr>
      <w:r w:rsidRPr="00442C14">
        <w:rPr>
          <w:i w:val="0"/>
          <w:color w:val="000000" w:themeColor="text1"/>
          <w:sz w:val="22"/>
          <w:szCs w:val="20"/>
        </w:rPr>
        <w:t xml:space="preserve">Figure 1. </w:t>
      </w:r>
      <w:r w:rsidR="008A247C" w:rsidRPr="00442C14">
        <w:rPr>
          <w:i w:val="0"/>
          <w:color w:val="000000" w:themeColor="text1"/>
          <w:sz w:val="22"/>
          <w:szCs w:val="20"/>
        </w:rPr>
        <w:t xml:space="preserve">Illustration of FE-SBFET structures </w:t>
      </w:r>
      <w:r w:rsidRPr="00442C14">
        <w:rPr>
          <w:i w:val="0"/>
          <w:color w:val="000000" w:themeColor="text1"/>
          <w:sz w:val="22"/>
          <w:szCs w:val="20"/>
        </w:rPr>
        <w:t>of</w:t>
      </w:r>
      <w:r w:rsidR="008A247C" w:rsidRPr="00442C14">
        <w:rPr>
          <w:i w:val="0"/>
          <w:color w:val="000000" w:themeColor="text1"/>
          <w:sz w:val="22"/>
          <w:szCs w:val="20"/>
        </w:rPr>
        <w:t xml:space="preserve">: </w:t>
      </w:r>
      <w:r w:rsidRPr="00442C14">
        <w:rPr>
          <w:i w:val="0"/>
          <w:color w:val="000000" w:themeColor="text1"/>
          <w:sz w:val="22"/>
          <w:szCs w:val="20"/>
        </w:rPr>
        <w:t xml:space="preserve"> a) three terminals</w:t>
      </w:r>
      <w:r w:rsidR="008A247C" w:rsidRPr="00442C14">
        <w:rPr>
          <w:i w:val="0"/>
          <w:color w:val="000000" w:themeColor="text1"/>
          <w:sz w:val="22"/>
          <w:szCs w:val="20"/>
        </w:rPr>
        <w:t>, and b)</w:t>
      </w:r>
      <w:r w:rsidRPr="00442C14">
        <w:rPr>
          <w:i w:val="0"/>
          <w:color w:val="000000" w:themeColor="text1"/>
          <w:sz w:val="22"/>
          <w:szCs w:val="20"/>
        </w:rPr>
        <w:t xml:space="preserve"> </w:t>
      </w:r>
      <w:r w:rsidR="008A247C" w:rsidRPr="00442C14">
        <w:rPr>
          <w:i w:val="0"/>
          <w:color w:val="000000" w:themeColor="text1"/>
          <w:sz w:val="22"/>
          <w:szCs w:val="20"/>
        </w:rPr>
        <w:t xml:space="preserve">four </w:t>
      </w:r>
      <w:r w:rsidRPr="00442C14">
        <w:rPr>
          <w:i w:val="0"/>
          <w:color w:val="000000" w:themeColor="text1"/>
          <w:sz w:val="22"/>
          <w:szCs w:val="20"/>
        </w:rPr>
        <w:t>terminal</w:t>
      </w:r>
      <w:r w:rsidR="008A247C" w:rsidRPr="00442C14">
        <w:rPr>
          <w:i w:val="0"/>
          <w:color w:val="000000" w:themeColor="text1"/>
          <w:sz w:val="22"/>
          <w:szCs w:val="20"/>
        </w:rPr>
        <w:t xml:space="preserve"> devices with dual-gate. The second gate </w:t>
      </w:r>
      <w:r w:rsidRPr="00442C14">
        <w:rPr>
          <w:i w:val="0"/>
          <w:color w:val="000000" w:themeColor="text1"/>
          <w:sz w:val="22"/>
          <w:szCs w:val="20"/>
        </w:rPr>
        <w:t>can be used as a modulatory neuron.</w:t>
      </w:r>
    </w:p>
    <w:p w14:paraId="0DCDF9DA" w14:textId="77777777" w:rsidR="002143C9" w:rsidRDefault="002143C9" w:rsidP="004753AA">
      <w:pPr>
        <w:jc w:val="both"/>
        <w:rPr>
          <w:sz w:val="22"/>
          <w:szCs w:val="22"/>
        </w:rPr>
      </w:pPr>
      <w:r w:rsidRPr="002143C9">
        <w:rPr>
          <w:sz w:val="22"/>
          <w:szCs w:val="22"/>
        </w:rPr>
        <w:t>Figure 2 displays the long-term potentiation/depression (LTP/LTD) results obtained from both 3-terminal (Fig. 2a) and 4-terminal (Fig. 2b, c) devices. In the homosynaptic device with 3-terminals (Fig. 2a), we applied 50 potentiating pulses with an amplitude of -0.7V. The increasing domain polarization resulting from the pulses creates more holes in the channel, reducing source, drain, and channel resistances. This is followed by 50 depressing pulses with an amplitude of 0.5V for depression. As explained previously, the combination of Schottky diodes and channel modulation enables the creation of more conductive states (in this case, 50 states) and high linearity of the devices.</w:t>
      </w:r>
    </w:p>
    <w:p w14:paraId="36C746C6" w14:textId="780CAF0B" w:rsidR="005F2614" w:rsidRPr="002143C9" w:rsidRDefault="00996D8E" w:rsidP="004753AA">
      <w:pPr>
        <w:jc w:val="both"/>
        <w:rPr>
          <w:sz w:val="22"/>
          <w:szCs w:val="22"/>
        </w:rPr>
      </w:pPr>
      <w:r>
        <w:rPr>
          <w:noProof/>
          <w:color w:val="000000" w:themeColor="text1"/>
        </w:rPr>
        <w:lastRenderedPageBreak/>
        <w:drawing>
          <wp:anchor distT="0" distB="0" distL="114300" distR="114300" simplePos="0" relativeHeight="251659264" behindDoc="1" locked="0" layoutInCell="1" allowOverlap="1" wp14:anchorId="0B09E71E" wp14:editId="7E11083E">
            <wp:simplePos x="0" y="0"/>
            <wp:positionH relativeFrom="margin">
              <wp:posOffset>27940</wp:posOffset>
            </wp:positionH>
            <wp:positionV relativeFrom="margin">
              <wp:posOffset>1430655</wp:posOffset>
            </wp:positionV>
            <wp:extent cx="5821045" cy="1678940"/>
            <wp:effectExtent l="0" t="0" r="8255" b="0"/>
            <wp:wrapTight wrapText="bothSides">
              <wp:wrapPolygon edited="0">
                <wp:start x="0" y="0"/>
                <wp:lineTo x="0" y="21322"/>
                <wp:lineTo x="21560" y="21322"/>
                <wp:lineTo x="215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rAbstract2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21045" cy="1678940"/>
                    </a:xfrm>
                    <a:prstGeom prst="rect">
                      <a:avLst/>
                    </a:prstGeom>
                  </pic:spPr>
                </pic:pic>
              </a:graphicData>
            </a:graphic>
            <wp14:sizeRelH relativeFrom="margin">
              <wp14:pctWidth>0</wp14:pctWidth>
            </wp14:sizeRelH>
            <wp14:sizeRelV relativeFrom="margin">
              <wp14:pctHeight>0</wp14:pctHeight>
            </wp14:sizeRelV>
          </wp:anchor>
        </w:drawing>
      </w:r>
      <w:r w:rsidR="002143C9" w:rsidRPr="002143C9">
        <w:t xml:space="preserve"> </w:t>
      </w:r>
      <w:r w:rsidR="002143C9" w:rsidRPr="002143C9">
        <w:rPr>
          <w:sz w:val="22"/>
          <w:szCs w:val="22"/>
        </w:rPr>
        <w:t>In the 4-terminal devices, voltage pulses are applied to the programming gate on the source side, and the modulation of the synaptic characteristics by the modulatory neuron enables heterosynaptic plasticity. The impact of the input voltage at the fourth terminal, V</w:t>
      </w:r>
      <w:r w:rsidR="002143C9" w:rsidRPr="002143C9">
        <w:rPr>
          <w:sz w:val="22"/>
          <w:szCs w:val="22"/>
          <w:vertAlign w:val="subscript"/>
        </w:rPr>
        <w:t>MOD</w:t>
      </w:r>
      <w:r w:rsidR="002143C9" w:rsidRPr="002143C9">
        <w:rPr>
          <w:sz w:val="22"/>
          <w:szCs w:val="22"/>
        </w:rPr>
        <w:t>, is clearly visible in Fig. 2b-c. At V</w:t>
      </w:r>
      <w:r w:rsidR="002143C9" w:rsidRPr="002143C9">
        <w:rPr>
          <w:sz w:val="22"/>
          <w:szCs w:val="22"/>
          <w:vertAlign w:val="subscript"/>
        </w:rPr>
        <w:t>MOD</w:t>
      </w:r>
      <w:r w:rsidR="002143C9" w:rsidRPr="002143C9">
        <w:rPr>
          <w:sz w:val="22"/>
          <w:szCs w:val="22"/>
        </w:rPr>
        <w:t xml:space="preserve"> = -1V, applied to the gate at the drain side, the conductive states have higher current and lower variance noise than those at V</w:t>
      </w:r>
      <w:r w:rsidR="002143C9" w:rsidRPr="002143C9">
        <w:rPr>
          <w:sz w:val="22"/>
          <w:szCs w:val="22"/>
          <w:vertAlign w:val="subscript"/>
        </w:rPr>
        <w:t>MOD</w:t>
      </w:r>
      <w:r w:rsidR="002143C9" w:rsidRPr="002143C9">
        <w:rPr>
          <w:sz w:val="22"/>
          <w:szCs w:val="22"/>
        </w:rPr>
        <w:t>=0 V. This can be explained by the modulation of the drain contact, which affects the overall drain current. The advantage of heterosynaptic plasticity is the reduction of positive feedback compared to homosynaptic plasticity, which increases the controllability for potentiation or depression of the synapses [5].</w:t>
      </w:r>
      <w:r w:rsidR="00AE3275" w:rsidRPr="002143C9">
        <w:rPr>
          <w:sz w:val="22"/>
          <w:szCs w:val="22"/>
        </w:rPr>
        <w:t xml:space="preserve"> </w:t>
      </w:r>
      <w:r w:rsidR="006C45DB" w:rsidRPr="002143C9">
        <w:rPr>
          <w:noProof/>
          <w:sz w:val="22"/>
          <w:szCs w:val="22"/>
        </w:rPr>
        <mc:AlternateContent>
          <mc:Choice Requires="wps">
            <w:drawing>
              <wp:anchor distT="0" distB="0" distL="114300" distR="114300" simplePos="0" relativeHeight="251666432" behindDoc="0" locked="0" layoutInCell="1" allowOverlap="1" wp14:anchorId="7CB754CF" wp14:editId="710F082F">
                <wp:simplePos x="0" y="0"/>
                <wp:positionH relativeFrom="margin">
                  <wp:align>right</wp:align>
                </wp:positionH>
                <wp:positionV relativeFrom="paragraph">
                  <wp:posOffset>3195320</wp:posOffset>
                </wp:positionV>
                <wp:extent cx="5937250" cy="647700"/>
                <wp:effectExtent l="0" t="0" r="6350" b="0"/>
                <wp:wrapSquare wrapText="bothSides"/>
                <wp:docPr id="3" name="Textruta 3"/>
                <wp:cNvGraphicFramePr/>
                <a:graphic xmlns:a="http://schemas.openxmlformats.org/drawingml/2006/main">
                  <a:graphicData uri="http://schemas.microsoft.com/office/word/2010/wordprocessingShape">
                    <wps:wsp>
                      <wps:cNvSpPr txBox="1"/>
                      <wps:spPr>
                        <a:xfrm>
                          <a:off x="0" y="0"/>
                          <a:ext cx="5937250" cy="647700"/>
                        </a:xfrm>
                        <a:prstGeom prst="rect">
                          <a:avLst/>
                        </a:prstGeom>
                        <a:solidFill>
                          <a:prstClr val="white"/>
                        </a:solidFill>
                        <a:ln>
                          <a:noFill/>
                        </a:ln>
                      </wps:spPr>
                      <wps:txbx>
                        <w:txbxContent>
                          <w:p w14:paraId="05BF4315" w14:textId="6CED132F" w:rsidR="00FD71DD" w:rsidRPr="00442C14" w:rsidRDefault="00FD71DD" w:rsidP="004753AA">
                            <w:pPr>
                              <w:pStyle w:val="Caption"/>
                              <w:jc w:val="both"/>
                              <w:rPr>
                                <w:i w:val="0"/>
                                <w:iCs w:val="0"/>
                                <w:sz w:val="22"/>
                                <w:szCs w:val="22"/>
                              </w:rPr>
                            </w:pPr>
                            <w:r w:rsidRPr="00442C14">
                              <w:rPr>
                                <w:i w:val="0"/>
                                <w:iCs w:val="0"/>
                                <w:color w:val="000000" w:themeColor="text1"/>
                                <w:sz w:val="22"/>
                                <w:szCs w:val="22"/>
                              </w:rPr>
                              <w:t xml:space="preserve">Figure </w:t>
                            </w:r>
                            <w:r w:rsidR="002143C9" w:rsidRPr="00442C14">
                              <w:rPr>
                                <w:i w:val="0"/>
                                <w:iCs w:val="0"/>
                                <w:color w:val="000000" w:themeColor="text1"/>
                                <w:sz w:val="22"/>
                                <w:szCs w:val="22"/>
                              </w:rPr>
                              <w:t xml:space="preserve">2. a) Measured LTP/LTD results </w:t>
                            </w:r>
                            <w:r w:rsidRPr="00442C14">
                              <w:rPr>
                                <w:i w:val="0"/>
                                <w:iCs w:val="0"/>
                                <w:color w:val="000000" w:themeColor="text1"/>
                                <w:sz w:val="22"/>
                                <w:szCs w:val="22"/>
                              </w:rPr>
                              <w:t xml:space="preserve">for the homosynaptic </w:t>
                            </w:r>
                            <w:r w:rsidR="002143C9" w:rsidRPr="00442C14">
                              <w:rPr>
                                <w:i w:val="0"/>
                                <w:iCs w:val="0"/>
                                <w:color w:val="000000" w:themeColor="text1"/>
                                <w:sz w:val="22"/>
                                <w:szCs w:val="22"/>
                              </w:rPr>
                              <w:t xml:space="preserve">3-terminal </w:t>
                            </w:r>
                            <w:r w:rsidRPr="00442C14">
                              <w:rPr>
                                <w:i w:val="0"/>
                                <w:iCs w:val="0"/>
                                <w:color w:val="000000" w:themeColor="text1"/>
                                <w:sz w:val="22"/>
                                <w:szCs w:val="22"/>
                              </w:rPr>
                              <w:t>device, 50</w:t>
                            </w:r>
                            <w:r w:rsidR="002143C9" w:rsidRPr="00442C14">
                              <w:rPr>
                                <w:i w:val="0"/>
                                <w:iCs w:val="0"/>
                                <w:color w:val="000000" w:themeColor="text1"/>
                                <w:sz w:val="22"/>
                                <w:szCs w:val="22"/>
                              </w:rPr>
                              <w:t>/50</w:t>
                            </w:r>
                            <w:r w:rsidRPr="00442C14">
                              <w:rPr>
                                <w:i w:val="0"/>
                                <w:iCs w:val="0"/>
                                <w:color w:val="000000" w:themeColor="text1"/>
                                <w:sz w:val="22"/>
                                <w:szCs w:val="22"/>
                              </w:rPr>
                              <w:t xml:space="preserve"> potentiating</w:t>
                            </w:r>
                            <w:r w:rsidR="002143C9" w:rsidRPr="00442C14">
                              <w:rPr>
                                <w:i w:val="0"/>
                                <w:iCs w:val="0"/>
                                <w:color w:val="000000" w:themeColor="text1"/>
                                <w:sz w:val="22"/>
                                <w:szCs w:val="22"/>
                              </w:rPr>
                              <w:t>/depressing</w:t>
                            </w:r>
                            <w:r w:rsidRPr="00442C14">
                              <w:rPr>
                                <w:i w:val="0"/>
                                <w:iCs w:val="0"/>
                                <w:color w:val="000000" w:themeColor="text1"/>
                                <w:sz w:val="22"/>
                                <w:szCs w:val="22"/>
                              </w:rPr>
                              <w:t xml:space="preserve"> pulses </w:t>
                            </w:r>
                            <w:r w:rsidR="002143C9" w:rsidRPr="00442C14">
                              <w:rPr>
                                <w:i w:val="0"/>
                                <w:iCs w:val="0"/>
                                <w:color w:val="000000" w:themeColor="text1"/>
                                <w:sz w:val="22"/>
                                <w:szCs w:val="22"/>
                              </w:rPr>
                              <w:t>are</w:t>
                            </w:r>
                            <w:r w:rsidRPr="00442C14">
                              <w:rPr>
                                <w:i w:val="0"/>
                                <w:iCs w:val="0"/>
                                <w:color w:val="000000" w:themeColor="text1"/>
                                <w:sz w:val="22"/>
                                <w:szCs w:val="22"/>
                              </w:rPr>
                              <w:t xml:space="preserve"> appli</w:t>
                            </w:r>
                            <w:r w:rsidR="002143C9" w:rsidRPr="00442C14">
                              <w:rPr>
                                <w:i w:val="0"/>
                                <w:iCs w:val="0"/>
                                <w:color w:val="000000" w:themeColor="text1"/>
                                <w:sz w:val="22"/>
                                <w:szCs w:val="22"/>
                              </w:rPr>
                              <w:t>ed</w:t>
                            </w:r>
                            <w:r w:rsidRPr="00442C14">
                              <w:rPr>
                                <w:i w:val="0"/>
                                <w:iCs w:val="0"/>
                                <w:color w:val="000000" w:themeColor="text1"/>
                                <w:sz w:val="22"/>
                                <w:szCs w:val="22"/>
                              </w:rPr>
                              <w:t>. b)</w:t>
                            </w:r>
                            <w:r w:rsidR="003A2DD8">
                              <w:rPr>
                                <w:i w:val="0"/>
                                <w:iCs w:val="0"/>
                                <w:color w:val="000000" w:themeColor="text1"/>
                                <w:sz w:val="22"/>
                                <w:szCs w:val="22"/>
                              </w:rPr>
                              <w:t xml:space="preserve"> and c):</w:t>
                            </w:r>
                            <w:r w:rsidRPr="00442C14">
                              <w:rPr>
                                <w:i w:val="0"/>
                                <w:iCs w:val="0"/>
                                <w:color w:val="000000" w:themeColor="text1"/>
                                <w:sz w:val="22"/>
                                <w:szCs w:val="22"/>
                              </w:rPr>
                              <w:t xml:space="preserve"> For the heterosynaptic </w:t>
                            </w:r>
                            <w:r w:rsidR="002143C9" w:rsidRPr="00442C14">
                              <w:rPr>
                                <w:i w:val="0"/>
                                <w:iCs w:val="0"/>
                                <w:color w:val="000000" w:themeColor="text1"/>
                                <w:sz w:val="22"/>
                                <w:szCs w:val="22"/>
                              </w:rPr>
                              <w:t xml:space="preserve">4-terminal </w:t>
                            </w:r>
                            <w:r w:rsidRPr="00442C14">
                              <w:rPr>
                                <w:i w:val="0"/>
                                <w:iCs w:val="0"/>
                                <w:color w:val="000000" w:themeColor="text1"/>
                                <w:sz w:val="22"/>
                                <w:szCs w:val="22"/>
                              </w:rPr>
                              <w:t>device, the modulating voltage influence</w:t>
                            </w:r>
                            <w:r w:rsidR="003A2DD8">
                              <w:rPr>
                                <w:i w:val="0"/>
                                <w:iCs w:val="0"/>
                                <w:color w:val="000000" w:themeColor="text1"/>
                                <w:sz w:val="22"/>
                                <w:szCs w:val="22"/>
                              </w:rPr>
                              <w:t>s</w:t>
                            </w:r>
                            <w:r w:rsidRPr="00442C14">
                              <w:rPr>
                                <w:i w:val="0"/>
                                <w:iCs w:val="0"/>
                                <w:color w:val="000000" w:themeColor="text1"/>
                                <w:sz w:val="22"/>
                                <w:szCs w:val="22"/>
                              </w:rPr>
                              <w:t xml:space="preserve"> the conductive states</w:t>
                            </w:r>
                            <w:r w:rsidR="002143C9" w:rsidRPr="00442C14">
                              <w:rPr>
                                <w:i w:val="0"/>
                                <w:iCs w:val="0"/>
                                <w:color w:val="000000" w:themeColor="text1"/>
                                <w:sz w:val="22"/>
                                <w:szCs w:val="22"/>
                              </w:rPr>
                              <w:t>. For a modulating gate voltage V</w:t>
                            </w:r>
                            <w:r w:rsidR="002143C9" w:rsidRPr="00442C14">
                              <w:rPr>
                                <w:i w:val="0"/>
                                <w:iCs w:val="0"/>
                                <w:color w:val="000000" w:themeColor="text1"/>
                                <w:sz w:val="22"/>
                                <w:szCs w:val="22"/>
                                <w:vertAlign w:val="subscript"/>
                              </w:rPr>
                              <w:t>MOD</w:t>
                            </w:r>
                            <w:r w:rsidR="002143C9" w:rsidRPr="00442C14">
                              <w:rPr>
                                <w:i w:val="0"/>
                                <w:iCs w:val="0"/>
                                <w:color w:val="000000" w:themeColor="text1"/>
                                <w:sz w:val="22"/>
                                <w:szCs w:val="22"/>
                              </w:rPr>
                              <w:t>= -1V</w:t>
                            </w:r>
                            <w:r w:rsidRPr="00442C14">
                              <w:rPr>
                                <w:i w:val="0"/>
                                <w:iCs w:val="0"/>
                                <w:color w:val="000000" w:themeColor="text1"/>
                                <w:sz w:val="22"/>
                                <w:szCs w:val="22"/>
                              </w:rPr>
                              <w:t xml:space="preserve"> the conductivity of the weight states increases, and the noise decreases compared to </w:t>
                            </w:r>
                            <w:r w:rsidR="002143C9" w:rsidRPr="00442C14">
                              <w:rPr>
                                <w:i w:val="0"/>
                                <w:iCs w:val="0"/>
                                <w:color w:val="000000" w:themeColor="text1"/>
                                <w:sz w:val="22"/>
                                <w:szCs w:val="22"/>
                              </w:rPr>
                              <w:t>V</w:t>
                            </w:r>
                            <w:r w:rsidR="002143C9" w:rsidRPr="00442C14">
                              <w:rPr>
                                <w:i w:val="0"/>
                                <w:iCs w:val="0"/>
                                <w:color w:val="000000" w:themeColor="text1"/>
                                <w:sz w:val="22"/>
                                <w:szCs w:val="22"/>
                                <w:vertAlign w:val="subscript"/>
                              </w:rPr>
                              <w:t>MOD</w:t>
                            </w:r>
                            <w:r w:rsidR="002143C9" w:rsidRPr="00442C14">
                              <w:rPr>
                                <w:i w:val="0"/>
                                <w:iCs w:val="0"/>
                                <w:color w:val="000000" w:themeColor="text1"/>
                                <w:sz w:val="22"/>
                                <w:szCs w:val="22"/>
                              </w:rPr>
                              <w:t>= -1V</w:t>
                            </w:r>
                            <w:r w:rsidRPr="00442C14">
                              <w:rPr>
                                <w:i w:val="0"/>
                                <w:iCs w:val="0"/>
                                <w:color w:val="000000" w:themeColor="text1"/>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754CF" id="_x0000_t202" coordsize="21600,21600" o:spt="202" path="m,l,21600r21600,l21600,xe">
                <v:stroke joinstyle="miter"/>
                <v:path gradientshapeok="t" o:connecttype="rect"/>
              </v:shapetype>
              <v:shape id="Textruta 3" o:spid="_x0000_s1026" type="#_x0000_t202" style="position:absolute;left:0;text-align:left;margin-left:416.3pt;margin-top:251.6pt;width:467.5pt;height:5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" stroked="f">
                <v:textbox inset="0,0,0,0">
                  <w:txbxContent>
                    <w:p w14:paraId="05BF4315" w14:textId="6CED132F" w:rsidR="00FD71DD" w:rsidRPr="00442C14" w:rsidRDefault="00FD71DD" w:rsidP="004753AA">
                      <w:pPr>
                        <w:pStyle w:val="Beschriftung"/>
                        <w:jc w:val="both"/>
                        <w:rPr>
                          <w:i w:val="0"/>
                          <w:iCs w:val="0"/>
                          <w:sz w:val="22"/>
                          <w:szCs w:val="22"/>
                        </w:rPr>
                      </w:pPr>
                      <w:r w:rsidRPr="00442C14">
                        <w:rPr>
                          <w:i w:val="0"/>
                          <w:iCs w:val="0"/>
                          <w:color w:val="000000" w:themeColor="text1"/>
                          <w:sz w:val="22"/>
                          <w:szCs w:val="22"/>
                        </w:rPr>
                        <w:t xml:space="preserve">Figure </w:t>
                      </w:r>
                      <w:r w:rsidR="002143C9" w:rsidRPr="00442C14">
                        <w:rPr>
                          <w:i w:val="0"/>
                          <w:iCs w:val="0"/>
                          <w:color w:val="000000" w:themeColor="text1"/>
                          <w:sz w:val="22"/>
                          <w:szCs w:val="22"/>
                        </w:rPr>
                        <w:t xml:space="preserve">2. a) Measured LTP/LTD results </w:t>
                      </w:r>
                      <w:r w:rsidRPr="00442C14">
                        <w:rPr>
                          <w:i w:val="0"/>
                          <w:iCs w:val="0"/>
                          <w:color w:val="000000" w:themeColor="text1"/>
                          <w:sz w:val="22"/>
                          <w:szCs w:val="22"/>
                        </w:rPr>
                        <w:t xml:space="preserve">for the homosynaptic </w:t>
                      </w:r>
                      <w:r w:rsidR="002143C9" w:rsidRPr="00442C14">
                        <w:rPr>
                          <w:i w:val="0"/>
                          <w:iCs w:val="0"/>
                          <w:color w:val="000000" w:themeColor="text1"/>
                          <w:sz w:val="22"/>
                          <w:szCs w:val="22"/>
                        </w:rPr>
                        <w:t xml:space="preserve">3-terminal </w:t>
                      </w:r>
                      <w:r w:rsidRPr="00442C14">
                        <w:rPr>
                          <w:i w:val="0"/>
                          <w:iCs w:val="0"/>
                          <w:color w:val="000000" w:themeColor="text1"/>
                          <w:sz w:val="22"/>
                          <w:szCs w:val="22"/>
                        </w:rPr>
                        <w:t>device, 50</w:t>
                      </w:r>
                      <w:r w:rsidR="002143C9" w:rsidRPr="00442C14">
                        <w:rPr>
                          <w:i w:val="0"/>
                          <w:iCs w:val="0"/>
                          <w:color w:val="000000" w:themeColor="text1"/>
                          <w:sz w:val="22"/>
                          <w:szCs w:val="22"/>
                        </w:rPr>
                        <w:t>/50</w:t>
                      </w:r>
                      <w:r w:rsidRPr="00442C14">
                        <w:rPr>
                          <w:i w:val="0"/>
                          <w:iCs w:val="0"/>
                          <w:color w:val="000000" w:themeColor="text1"/>
                          <w:sz w:val="22"/>
                          <w:szCs w:val="22"/>
                        </w:rPr>
                        <w:t xml:space="preserve"> potentiating</w:t>
                      </w:r>
                      <w:r w:rsidR="002143C9" w:rsidRPr="00442C14">
                        <w:rPr>
                          <w:i w:val="0"/>
                          <w:iCs w:val="0"/>
                          <w:color w:val="000000" w:themeColor="text1"/>
                          <w:sz w:val="22"/>
                          <w:szCs w:val="22"/>
                        </w:rPr>
                        <w:t>/depressing</w:t>
                      </w:r>
                      <w:r w:rsidRPr="00442C14">
                        <w:rPr>
                          <w:i w:val="0"/>
                          <w:iCs w:val="0"/>
                          <w:color w:val="000000" w:themeColor="text1"/>
                          <w:sz w:val="22"/>
                          <w:szCs w:val="22"/>
                        </w:rPr>
                        <w:t xml:space="preserve"> pulses </w:t>
                      </w:r>
                      <w:r w:rsidR="002143C9" w:rsidRPr="00442C14">
                        <w:rPr>
                          <w:i w:val="0"/>
                          <w:iCs w:val="0"/>
                          <w:color w:val="000000" w:themeColor="text1"/>
                          <w:sz w:val="22"/>
                          <w:szCs w:val="22"/>
                        </w:rPr>
                        <w:t>are</w:t>
                      </w:r>
                      <w:r w:rsidRPr="00442C14">
                        <w:rPr>
                          <w:i w:val="0"/>
                          <w:iCs w:val="0"/>
                          <w:color w:val="000000" w:themeColor="text1"/>
                          <w:sz w:val="22"/>
                          <w:szCs w:val="22"/>
                        </w:rPr>
                        <w:t xml:space="preserve"> appli</w:t>
                      </w:r>
                      <w:r w:rsidR="002143C9" w:rsidRPr="00442C14">
                        <w:rPr>
                          <w:i w:val="0"/>
                          <w:iCs w:val="0"/>
                          <w:color w:val="000000" w:themeColor="text1"/>
                          <w:sz w:val="22"/>
                          <w:szCs w:val="22"/>
                        </w:rPr>
                        <w:t>ed</w:t>
                      </w:r>
                      <w:r w:rsidRPr="00442C14">
                        <w:rPr>
                          <w:i w:val="0"/>
                          <w:iCs w:val="0"/>
                          <w:color w:val="000000" w:themeColor="text1"/>
                          <w:sz w:val="22"/>
                          <w:szCs w:val="22"/>
                        </w:rPr>
                        <w:t>. b)</w:t>
                      </w:r>
                      <w:r w:rsidR="003A2DD8">
                        <w:rPr>
                          <w:i w:val="0"/>
                          <w:iCs w:val="0"/>
                          <w:color w:val="000000" w:themeColor="text1"/>
                          <w:sz w:val="22"/>
                          <w:szCs w:val="22"/>
                        </w:rPr>
                        <w:t xml:space="preserve"> and c):</w:t>
                      </w:r>
                      <w:r w:rsidRPr="00442C14">
                        <w:rPr>
                          <w:i w:val="0"/>
                          <w:iCs w:val="0"/>
                          <w:color w:val="000000" w:themeColor="text1"/>
                          <w:sz w:val="22"/>
                          <w:szCs w:val="22"/>
                        </w:rPr>
                        <w:t xml:space="preserve"> For the heterosynaptic </w:t>
                      </w:r>
                      <w:r w:rsidR="002143C9" w:rsidRPr="00442C14">
                        <w:rPr>
                          <w:i w:val="0"/>
                          <w:iCs w:val="0"/>
                          <w:color w:val="000000" w:themeColor="text1"/>
                          <w:sz w:val="22"/>
                          <w:szCs w:val="22"/>
                        </w:rPr>
                        <w:t xml:space="preserve">4-terminal </w:t>
                      </w:r>
                      <w:r w:rsidRPr="00442C14">
                        <w:rPr>
                          <w:i w:val="0"/>
                          <w:iCs w:val="0"/>
                          <w:color w:val="000000" w:themeColor="text1"/>
                          <w:sz w:val="22"/>
                          <w:szCs w:val="22"/>
                        </w:rPr>
                        <w:t>device, the modulating voltage influence</w:t>
                      </w:r>
                      <w:r w:rsidR="003A2DD8">
                        <w:rPr>
                          <w:i w:val="0"/>
                          <w:iCs w:val="0"/>
                          <w:color w:val="000000" w:themeColor="text1"/>
                          <w:sz w:val="22"/>
                          <w:szCs w:val="22"/>
                        </w:rPr>
                        <w:t>s</w:t>
                      </w:r>
                      <w:r w:rsidRPr="00442C14">
                        <w:rPr>
                          <w:i w:val="0"/>
                          <w:iCs w:val="0"/>
                          <w:color w:val="000000" w:themeColor="text1"/>
                          <w:sz w:val="22"/>
                          <w:szCs w:val="22"/>
                        </w:rPr>
                        <w:t xml:space="preserve"> the conductive states</w:t>
                      </w:r>
                      <w:r w:rsidR="002143C9" w:rsidRPr="00442C14">
                        <w:rPr>
                          <w:i w:val="0"/>
                          <w:iCs w:val="0"/>
                          <w:color w:val="000000" w:themeColor="text1"/>
                          <w:sz w:val="22"/>
                          <w:szCs w:val="22"/>
                        </w:rPr>
                        <w:t>. For a modulating gate voltage V</w:t>
                      </w:r>
                      <w:r w:rsidR="002143C9" w:rsidRPr="00442C14">
                        <w:rPr>
                          <w:i w:val="0"/>
                          <w:iCs w:val="0"/>
                          <w:color w:val="000000" w:themeColor="text1"/>
                          <w:sz w:val="22"/>
                          <w:szCs w:val="22"/>
                          <w:vertAlign w:val="subscript"/>
                        </w:rPr>
                        <w:t>MOD</w:t>
                      </w:r>
                      <w:r w:rsidR="002143C9" w:rsidRPr="00442C14">
                        <w:rPr>
                          <w:i w:val="0"/>
                          <w:iCs w:val="0"/>
                          <w:color w:val="000000" w:themeColor="text1"/>
                          <w:sz w:val="22"/>
                          <w:szCs w:val="22"/>
                        </w:rPr>
                        <w:t>= -1V</w:t>
                      </w:r>
                      <w:r w:rsidRPr="00442C14">
                        <w:rPr>
                          <w:i w:val="0"/>
                          <w:iCs w:val="0"/>
                          <w:color w:val="000000" w:themeColor="text1"/>
                          <w:sz w:val="22"/>
                          <w:szCs w:val="22"/>
                        </w:rPr>
                        <w:t xml:space="preserve"> the conductivity of the weight states increases, and the noise decreases compared to </w:t>
                      </w:r>
                      <w:r w:rsidR="002143C9" w:rsidRPr="00442C14">
                        <w:rPr>
                          <w:i w:val="0"/>
                          <w:iCs w:val="0"/>
                          <w:color w:val="000000" w:themeColor="text1"/>
                          <w:sz w:val="22"/>
                          <w:szCs w:val="22"/>
                        </w:rPr>
                        <w:t>V</w:t>
                      </w:r>
                      <w:r w:rsidR="002143C9" w:rsidRPr="00442C14">
                        <w:rPr>
                          <w:i w:val="0"/>
                          <w:iCs w:val="0"/>
                          <w:color w:val="000000" w:themeColor="text1"/>
                          <w:sz w:val="22"/>
                          <w:szCs w:val="22"/>
                          <w:vertAlign w:val="subscript"/>
                        </w:rPr>
                        <w:t>MOD</w:t>
                      </w:r>
                      <w:r w:rsidR="002143C9" w:rsidRPr="00442C14">
                        <w:rPr>
                          <w:i w:val="0"/>
                          <w:iCs w:val="0"/>
                          <w:color w:val="000000" w:themeColor="text1"/>
                          <w:sz w:val="22"/>
                          <w:szCs w:val="22"/>
                        </w:rPr>
                        <w:t>= -1V</w:t>
                      </w:r>
                      <w:r w:rsidRPr="00442C14">
                        <w:rPr>
                          <w:i w:val="0"/>
                          <w:iCs w:val="0"/>
                          <w:color w:val="000000" w:themeColor="text1"/>
                          <w:sz w:val="22"/>
                          <w:szCs w:val="22"/>
                        </w:rPr>
                        <w:t>.</w:t>
                      </w:r>
                    </w:p>
                  </w:txbxContent>
                </v:textbox>
                <w10:wrap type="square" anchorx="margin"/>
              </v:shape>
            </w:pict>
          </mc:Fallback>
        </mc:AlternateContent>
      </w:r>
      <w:r w:rsidR="00CB7D30" w:rsidRPr="002143C9">
        <w:rPr>
          <w:sz w:val="22"/>
          <w:szCs w:val="22"/>
        </w:rPr>
        <w:t xml:space="preserve"> </w:t>
      </w:r>
    </w:p>
    <w:p w14:paraId="4FDBAED6" w14:textId="6031F83A" w:rsidR="006C45DB" w:rsidRDefault="004753AA" w:rsidP="004753AA">
      <w:pPr>
        <w:jc w:val="both"/>
        <w:rPr>
          <w:sz w:val="22"/>
          <w:szCs w:val="22"/>
        </w:rPr>
      </w:pPr>
      <w:r>
        <w:rPr>
          <w:noProof/>
        </w:rPr>
        <w:drawing>
          <wp:anchor distT="0" distB="0" distL="114300" distR="114300" simplePos="0" relativeHeight="251660288" behindDoc="0" locked="0" layoutInCell="1" allowOverlap="1" wp14:anchorId="7DF13939" wp14:editId="1DB86FBA">
            <wp:simplePos x="0" y="0"/>
            <wp:positionH relativeFrom="margin">
              <wp:posOffset>2764664</wp:posOffset>
            </wp:positionH>
            <wp:positionV relativeFrom="margin">
              <wp:posOffset>3966318</wp:posOffset>
            </wp:positionV>
            <wp:extent cx="3175715" cy="1749140"/>
            <wp:effectExtent l="0" t="0" r="571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Abstract18.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75715" cy="174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CEAC6" w14:textId="42B0CE04" w:rsidR="00B53BA8" w:rsidRDefault="004753AA" w:rsidP="004753AA">
      <w:pPr>
        <w:jc w:val="both"/>
        <w:rPr>
          <w:sz w:val="22"/>
          <w:szCs w:val="22"/>
        </w:rPr>
      </w:pPr>
      <w:r w:rsidRPr="00B53BA8">
        <w:rPr>
          <w:noProof/>
          <w:sz w:val="22"/>
          <w:szCs w:val="22"/>
        </w:rPr>
        <mc:AlternateContent>
          <mc:Choice Requires="wps">
            <w:drawing>
              <wp:anchor distT="0" distB="0" distL="114300" distR="114300" simplePos="0" relativeHeight="251662336" behindDoc="0" locked="0" layoutInCell="1" allowOverlap="1" wp14:anchorId="342C05D2" wp14:editId="429D6A1E">
                <wp:simplePos x="0" y="0"/>
                <wp:positionH relativeFrom="margin">
                  <wp:posOffset>2764155</wp:posOffset>
                </wp:positionH>
                <wp:positionV relativeFrom="paragraph">
                  <wp:posOffset>1757045</wp:posOffset>
                </wp:positionV>
                <wp:extent cx="3175635" cy="361950"/>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3175635" cy="361950"/>
                        </a:xfrm>
                        <a:prstGeom prst="rect">
                          <a:avLst/>
                        </a:prstGeom>
                        <a:solidFill>
                          <a:prstClr val="white"/>
                        </a:solidFill>
                        <a:ln>
                          <a:noFill/>
                        </a:ln>
                      </wps:spPr>
                      <wps:txbx>
                        <w:txbxContent>
                          <w:p w14:paraId="5B143CC2" w14:textId="35164F1B" w:rsidR="005E5049" w:rsidRPr="00442C14" w:rsidRDefault="005E5049" w:rsidP="005E5049">
                            <w:pPr>
                              <w:pStyle w:val="Caption"/>
                              <w:rPr>
                                <w:noProof/>
                                <w:sz w:val="22"/>
                                <w:szCs w:val="22"/>
                              </w:rPr>
                            </w:pPr>
                            <w:r w:rsidRPr="00442C14">
                              <w:rPr>
                                <w:i w:val="0"/>
                                <w:color w:val="auto"/>
                                <w:sz w:val="22"/>
                                <w:szCs w:val="22"/>
                              </w:rPr>
                              <w:t xml:space="preserve">Figure </w:t>
                            </w:r>
                            <w:r w:rsidR="008F7086" w:rsidRPr="00442C14">
                              <w:rPr>
                                <w:i w:val="0"/>
                                <w:color w:val="auto"/>
                                <w:sz w:val="22"/>
                                <w:szCs w:val="22"/>
                              </w:rPr>
                              <w:t>3</w:t>
                            </w:r>
                            <w:r w:rsidRPr="00442C14">
                              <w:rPr>
                                <w:i w:val="0"/>
                                <w:color w:val="auto"/>
                                <w:sz w:val="22"/>
                                <w:szCs w:val="22"/>
                              </w:rPr>
                              <w:t>. Logic AND function implemented by using a single heterosynaptic</w:t>
                            </w:r>
                            <w:r w:rsidR="00A408E8" w:rsidRPr="00442C14">
                              <w:rPr>
                                <w:i w:val="0"/>
                                <w:color w:val="auto"/>
                                <w:sz w:val="22"/>
                                <w:szCs w:val="22"/>
                              </w:rPr>
                              <w:t xml:space="preserve"> device.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2C05D2" id="Text Box 1" o:spid="_x0000_s1027" type="#_x0000_t202" style="position:absolute;left:0;text-align:left;margin-left:217.65pt;margin-top:138.35pt;width:250.0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" stroked="f">
                <v:textbox inset="0,0,0,0">
                  <w:txbxContent>
                    <w:p w14:paraId="5B143CC2" w14:textId="35164F1B" w:rsidR="005E5049" w:rsidRPr="00442C14" w:rsidRDefault="005E5049" w:rsidP="005E5049">
                      <w:pPr>
                        <w:pStyle w:val="Beskrivning"/>
                        <w:rPr>
                          <w:noProof/>
                          <w:sz w:val="22"/>
                          <w:szCs w:val="22"/>
                        </w:rPr>
                      </w:pPr>
                      <w:r w:rsidRPr="00442C14">
                        <w:rPr>
                          <w:i w:val="0"/>
                          <w:color w:val="auto"/>
                          <w:sz w:val="22"/>
                          <w:szCs w:val="22"/>
                        </w:rPr>
                        <w:t xml:space="preserve">Figure </w:t>
                      </w:r>
                      <w:r w:rsidR="008F7086" w:rsidRPr="00442C14">
                        <w:rPr>
                          <w:i w:val="0"/>
                          <w:color w:val="auto"/>
                          <w:sz w:val="22"/>
                          <w:szCs w:val="22"/>
                        </w:rPr>
                        <w:t>3</w:t>
                      </w:r>
                      <w:r w:rsidRPr="00442C14">
                        <w:rPr>
                          <w:i w:val="0"/>
                          <w:color w:val="auto"/>
                          <w:sz w:val="22"/>
                          <w:szCs w:val="22"/>
                        </w:rPr>
                        <w:t xml:space="preserve">. Logic AND function implemented by using a single </w:t>
                      </w:r>
                      <w:proofErr w:type="spellStart"/>
                      <w:r w:rsidRPr="00442C14">
                        <w:rPr>
                          <w:i w:val="0"/>
                          <w:color w:val="auto"/>
                          <w:sz w:val="22"/>
                          <w:szCs w:val="22"/>
                        </w:rPr>
                        <w:t>heterosynaptic</w:t>
                      </w:r>
                      <w:proofErr w:type="spellEnd"/>
                      <w:r w:rsidR="00A408E8" w:rsidRPr="00442C14">
                        <w:rPr>
                          <w:i w:val="0"/>
                          <w:color w:val="auto"/>
                          <w:sz w:val="22"/>
                          <w:szCs w:val="22"/>
                        </w:rPr>
                        <w:t xml:space="preserve"> device.</w:t>
                      </w:r>
                    </w:p>
                  </w:txbxContent>
                </v:textbox>
                <w10:wrap type="square" anchorx="margin"/>
              </v:shape>
            </w:pict>
          </mc:Fallback>
        </mc:AlternateContent>
      </w:r>
      <w:r w:rsidR="00B53BA8" w:rsidRPr="00B53BA8">
        <w:rPr>
          <w:sz w:val="22"/>
          <w:szCs w:val="22"/>
        </w:rPr>
        <w:t>Furthermore, the additional fourth terminal offers an advantage of logic gates for in-memory computing [1]. As shown in Fig. 3, if only one of V</w:t>
      </w:r>
      <w:r w:rsidR="00B53BA8" w:rsidRPr="005A2E8B">
        <w:rPr>
          <w:sz w:val="22"/>
          <w:szCs w:val="22"/>
          <w:vertAlign w:val="subscript"/>
        </w:rPr>
        <w:t>MOD</w:t>
      </w:r>
      <w:r w:rsidR="00B53BA8" w:rsidRPr="00B53BA8">
        <w:rPr>
          <w:sz w:val="22"/>
          <w:szCs w:val="22"/>
        </w:rPr>
        <w:t xml:space="preserve"> and V</w:t>
      </w:r>
      <w:r w:rsidR="00B53BA8" w:rsidRPr="005A2E8B">
        <w:rPr>
          <w:sz w:val="22"/>
          <w:szCs w:val="22"/>
          <w:vertAlign w:val="subscript"/>
        </w:rPr>
        <w:t>PRO</w:t>
      </w:r>
      <w:r w:rsidR="00B53BA8" w:rsidRPr="00B53BA8">
        <w:rPr>
          <w:sz w:val="22"/>
          <w:szCs w:val="22"/>
        </w:rPr>
        <w:t xml:space="preserve"> is negative, the current is very low. However, if both are negative at the same time, the current becomes high, enabling the implementation of the AND function using only a single device. The ability to use the same device and process for both in-memory computing and as a synapse simplifies the integration of neuromorphic systems. Therefore, the synaptic device with Schottky diodes and heterosynaptic behavior is a promising candidate for a building block in neuromorphic computing s</w:t>
      </w:r>
      <w:bookmarkStart w:id="0" w:name="_GoBack"/>
      <w:bookmarkEnd w:id="0"/>
      <w:r w:rsidR="00B53BA8" w:rsidRPr="00B53BA8">
        <w:rPr>
          <w:sz w:val="22"/>
          <w:szCs w:val="22"/>
        </w:rPr>
        <w:t xml:space="preserve">ystems. In-memory computing and synaptic functionality are crucial components of such </w:t>
      </w:r>
      <w:r w:rsidR="00BE3253" w:rsidRPr="00B53BA8">
        <w:rPr>
          <w:sz w:val="22"/>
          <w:szCs w:val="22"/>
        </w:rPr>
        <w:t>systems and</w:t>
      </w:r>
      <w:r w:rsidR="00B53BA8" w:rsidRPr="00B53BA8">
        <w:rPr>
          <w:sz w:val="22"/>
          <w:szCs w:val="22"/>
        </w:rPr>
        <w:t xml:space="preserve"> combining them into a single device can lead to more efficient and compact systems.</w:t>
      </w:r>
    </w:p>
    <w:p w14:paraId="20C77AA9" w14:textId="1FAC4587" w:rsidR="00B53BA8" w:rsidRPr="00080FE1" w:rsidRDefault="00080FE1" w:rsidP="00080FE1">
      <w:pPr>
        <w:pStyle w:val="Head1"/>
      </w:pPr>
      <w:r w:rsidRPr="002E2868">
        <w:t>Acknowledgements</w:t>
      </w:r>
    </w:p>
    <w:p w14:paraId="598069E6" w14:textId="6E1F560A" w:rsidR="00080FE1" w:rsidRPr="00CD0227" w:rsidRDefault="00080FE1" w:rsidP="004753AA">
      <w:pPr>
        <w:jc w:val="both"/>
        <w:rPr>
          <w:color w:val="000000" w:themeColor="text1"/>
          <w:sz w:val="22"/>
          <w:szCs w:val="22"/>
        </w:rPr>
      </w:pPr>
      <w:r w:rsidRPr="00CD0227">
        <w:rPr>
          <w:sz w:val="22"/>
          <w:szCs w:val="22"/>
        </w:rPr>
        <w:t>This work was partially supported by the Federal Ministry of Education and Research (BMBF, Germany) in the project NEUROTEC (16ME0398K).</w:t>
      </w:r>
    </w:p>
    <w:p w14:paraId="5F03E0E0" w14:textId="7F563FBE" w:rsidR="00551D4D" w:rsidRPr="005F0A65" w:rsidRDefault="00551D4D" w:rsidP="004753AA">
      <w:pPr>
        <w:pStyle w:val="Heading1"/>
        <w:jc w:val="both"/>
        <w:rPr>
          <w:sz w:val="28"/>
          <w:szCs w:val="28"/>
        </w:rPr>
      </w:pPr>
      <w:r w:rsidRPr="005F0A65">
        <w:rPr>
          <w:sz w:val="28"/>
          <w:szCs w:val="28"/>
        </w:rPr>
        <w:t>References</w:t>
      </w:r>
    </w:p>
    <w:p w14:paraId="32D6DF98" w14:textId="576EAF52" w:rsidR="00551D4D" w:rsidRPr="007F5BCB" w:rsidRDefault="00551D4D" w:rsidP="004753AA">
      <w:pPr>
        <w:pStyle w:val="NormalWeb"/>
        <w:spacing w:before="0" w:beforeAutospacing="0" w:after="0" w:afterAutospacing="0"/>
        <w:ind w:left="640" w:hanging="640"/>
        <w:jc w:val="both"/>
        <w:rPr>
          <w:noProof/>
          <w:sz w:val="20"/>
          <w:szCs w:val="20"/>
        </w:rPr>
      </w:pPr>
      <w:r w:rsidRPr="007F5BCB">
        <w:rPr>
          <w:sz w:val="20"/>
          <w:szCs w:val="20"/>
        </w:rPr>
        <w:fldChar w:fldCharType="begin" w:fldLock="1"/>
      </w:r>
      <w:r w:rsidRPr="007F5BCB">
        <w:rPr>
          <w:sz w:val="20"/>
          <w:szCs w:val="20"/>
        </w:rPr>
        <w:instrText xml:space="preserve">ADDIN Mendeley Bibliography CSL_BIBLIOGRAPHY </w:instrText>
      </w:r>
      <w:r w:rsidRPr="007F5BCB">
        <w:rPr>
          <w:sz w:val="20"/>
          <w:szCs w:val="20"/>
        </w:rPr>
        <w:fldChar w:fldCharType="separate"/>
      </w:r>
      <w:r w:rsidRPr="007F5BCB">
        <w:rPr>
          <w:noProof/>
          <w:sz w:val="20"/>
          <w:szCs w:val="20"/>
        </w:rPr>
        <w:t>[1]</w:t>
      </w:r>
      <w:r w:rsidRPr="007F5BCB">
        <w:rPr>
          <w:noProof/>
          <w:sz w:val="20"/>
          <w:szCs w:val="20"/>
        </w:rPr>
        <w:tab/>
        <w:t xml:space="preserve">G. Pedretti and D. Ielmini, </w:t>
      </w:r>
      <w:r w:rsidRPr="007F5BCB">
        <w:rPr>
          <w:i/>
          <w:iCs/>
          <w:noProof/>
          <w:sz w:val="20"/>
          <w:szCs w:val="20"/>
        </w:rPr>
        <w:t>Electron.</w:t>
      </w:r>
      <w:r w:rsidR="002A3F28" w:rsidRPr="007F5BCB">
        <w:rPr>
          <w:noProof/>
          <w:sz w:val="20"/>
          <w:szCs w:val="20"/>
        </w:rPr>
        <w:t>, vol. 10, no. 9, 2021</w:t>
      </w:r>
    </w:p>
    <w:p w14:paraId="784CAB79" w14:textId="0BD8A68F" w:rsidR="00551D4D" w:rsidRPr="007F5BCB" w:rsidRDefault="00551D4D" w:rsidP="004753AA">
      <w:pPr>
        <w:pStyle w:val="NormalWeb"/>
        <w:spacing w:before="0" w:beforeAutospacing="0" w:after="0" w:afterAutospacing="0"/>
        <w:ind w:left="641" w:hanging="641"/>
        <w:jc w:val="both"/>
        <w:rPr>
          <w:noProof/>
          <w:sz w:val="20"/>
          <w:szCs w:val="20"/>
        </w:rPr>
      </w:pPr>
      <w:r w:rsidRPr="007F5BCB">
        <w:rPr>
          <w:noProof/>
          <w:sz w:val="20"/>
          <w:szCs w:val="20"/>
        </w:rPr>
        <w:t>[2]</w:t>
      </w:r>
      <w:r w:rsidRPr="007F5BCB">
        <w:rPr>
          <w:noProof/>
          <w:sz w:val="20"/>
          <w:szCs w:val="20"/>
        </w:rPr>
        <w:tab/>
        <w:t xml:space="preserve">S. H. Jo, T. Chang, </w:t>
      </w:r>
      <w:r w:rsidR="002A3F28" w:rsidRPr="007F5BCB">
        <w:rPr>
          <w:noProof/>
          <w:sz w:val="20"/>
          <w:szCs w:val="20"/>
        </w:rPr>
        <w:t>et al.,</w:t>
      </w:r>
      <w:r w:rsidRPr="007F5BCB">
        <w:rPr>
          <w:noProof/>
          <w:sz w:val="20"/>
          <w:szCs w:val="20"/>
        </w:rPr>
        <w:t xml:space="preserve"> </w:t>
      </w:r>
      <w:r w:rsidRPr="007F5BCB">
        <w:rPr>
          <w:i/>
          <w:iCs/>
          <w:noProof/>
          <w:sz w:val="20"/>
          <w:szCs w:val="20"/>
        </w:rPr>
        <w:t>Nano Lett.</w:t>
      </w:r>
      <w:r w:rsidRPr="007F5BCB">
        <w:rPr>
          <w:noProof/>
          <w:sz w:val="20"/>
          <w:szCs w:val="20"/>
        </w:rPr>
        <w:t xml:space="preserve">, vol. </w:t>
      </w:r>
      <w:r w:rsidR="002A3F28" w:rsidRPr="007F5BCB">
        <w:rPr>
          <w:noProof/>
          <w:sz w:val="20"/>
          <w:szCs w:val="20"/>
        </w:rPr>
        <w:t>10, no. 4, pp. 1297–1301, 2010</w:t>
      </w:r>
    </w:p>
    <w:p w14:paraId="305B3852" w14:textId="1DF623CB" w:rsidR="00551D4D" w:rsidRPr="007F5BCB" w:rsidRDefault="00551D4D" w:rsidP="004753AA">
      <w:pPr>
        <w:pStyle w:val="NormalWeb"/>
        <w:spacing w:before="0" w:beforeAutospacing="0" w:after="0" w:afterAutospacing="0"/>
        <w:ind w:left="640" w:hanging="640"/>
        <w:jc w:val="both"/>
        <w:rPr>
          <w:noProof/>
          <w:sz w:val="20"/>
          <w:szCs w:val="20"/>
        </w:rPr>
      </w:pPr>
      <w:r w:rsidRPr="007F5BCB">
        <w:rPr>
          <w:noProof/>
          <w:sz w:val="20"/>
          <w:szCs w:val="20"/>
        </w:rPr>
        <w:t>[3]</w:t>
      </w:r>
      <w:r w:rsidRPr="007F5BCB">
        <w:rPr>
          <w:noProof/>
          <w:sz w:val="20"/>
          <w:szCs w:val="20"/>
        </w:rPr>
        <w:tab/>
        <w:t xml:space="preserve">F. Xi </w:t>
      </w:r>
      <w:r w:rsidRPr="007F5BCB">
        <w:rPr>
          <w:i/>
          <w:iCs/>
          <w:noProof/>
          <w:sz w:val="20"/>
          <w:szCs w:val="20"/>
        </w:rPr>
        <w:t>et al.</w:t>
      </w:r>
      <w:r w:rsidRPr="007F5BCB">
        <w:rPr>
          <w:noProof/>
          <w:sz w:val="20"/>
          <w:szCs w:val="20"/>
        </w:rPr>
        <w:t xml:space="preserve">, </w:t>
      </w:r>
      <w:r w:rsidRPr="007F5BCB">
        <w:rPr>
          <w:i/>
          <w:iCs/>
          <w:noProof/>
          <w:sz w:val="20"/>
          <w:szCs w:val="20"/>
        </w:rPr>
        <w:t>ACS Appl. Mater. Interfaces</w:t>
      </w:r>
      <w:r w:rsidR="002A3F28" w:rsidRPr="007F5BCB">
        <w:rPr>
          <w:noProof/>
          <w:sz w:val="20"/>
          <w:szCs w:val="20"/>
        </w:rPr>
        <w:t>, vol. 13, no. 27, 2021</w:t>
      </w:r>
    </w:p>
    <w:p w14:paraId="368C62E7" w14:textId="6D00A9C4" w:rsidR="00551D4D" w:rsidRPr="007F5BCB" w:rsidRDefault="00551D4D" w:rsidP="004753AA">
      <w:pPr>
        <w:pStyle w:val="NormalWeb"/>
        <w:spacing w:before="0" w:beforeAutospacing="0" w:after="0" w:afterAutospacing="0"/>
        <w:ind w:left="640" w:hanging="640"/>
        <w:jc w:val="both"/>
        <w:rPr>
          <w:noProof/>
          <w:sz w:val="20"/>
          <w:szCs w:val="20"/>
        </w:rPr>
      </w:pPr>
      <w:r w:rsidRPr="007F5BCB">
        <w:rPr>
          <w:noProof/>
          <w:sz w:val="20"/>
          <w:szCs w:val="20"/>
        </w:rPr>
        <w:t>[4]</w:t>
      </w:r>
      <w:r w:rsidRPr="007F5BCB">
        <w:rPr>
          <w:noProof/>
          <w:sz w:val="20"/>
          <w:szCs w:val="20"/>
        </w:rPr>
        <w:tab/>
        <w:t xml:space="preserve">F. Xi </w:t>
      </w:r>
      <w:r w:rsidRPr="007F5BCB">
        <w:rPr>
          <w:i/>
          <w:iCs/>
          <w:noProof/>
          <w:sz w:val="20"/>
          <w:szCs w:val="20"/>
        </w:rPr>
        <w:t>et al.</w:t>
      </w:r>
      <w:r w:rsidRPr="007F5BCB">
        <w:rPr>
          <w:noProof/>
          <w:sz w:val="20"/>
          <w:szCs w:val="20"/>
        </w:rPr>
        <w:t xml:space="preserve">, </w:t>
      </w:r>
      <w:r w:rsidRPr="007F5BCB">
        <w:rPr>
          <w:i/>
          <w:iCs/>
          <w:noProof/>
          <w:sz w:val="20"/>
          <w:szCs w:val="20"/>
        </w:rPr>
        <w:t>Adv. Electron. Mater.</w:t>
      </w:r>
      <w:r w:rsidRPr="007F5BCB">
        <w:rPr>
          <w:noProof/>
          <w:sz w:val="20"/>
          <w:szCs w:val="20"/>
        </w:rPr>
        <w:t>, 2022</w:t>
      </w:r>
    </w:p>
    <w:p w14:paraId="5083E5CF" w14:textId="5E05ECCE" w:rsidR="00223E22" w:rsidRPr="007F5BCB" w:rsidRDefault="00551D4D">
      <w:pPr>
        <w:pStyle w:val="NormalWeb"/>
        <w:spacing w:before="0" w:beforeAutospacing="0" w:after="0" w:afterAutospacing="0"/>
        <w:ind w:left="640" w:hanging="640"/>
        <w:jc w:val="both"/>
        <w:rPr>
          <w:sz w:val="20"/>
          <w:szCs w:val="20"/>
        </w:rPr>
      </w:pPr>
      <w:r w:rsidRPr="007F5BCB">
        <w:rPr>
          <w:noProof/>
          <w:sz w:val="20"/>
          <w:szCs w:val="20"/>
        </w:rPr>
        <w:t>[5]</w:t>
      </w:r>
      <w:r w:rsidRPr="007F5BCB">
        <w:rPr>
          <w:noProof/>
          <w:sz w:val="20"/>
          <w:szCs w:val="20"/>
        </w:rPr>
        <w:tab/>
        <w:t>M. Chistiakova,</w:t>
      </w:r>
      <w:r w:rsidR="002A3F28" w:rsidRPr="007F5BCB">
        <w:rPr>
          <w:noProof/>
          <w:sz w:val="20"/>
          <w:szCs w:val="20"/>
        </w:rPr>
        <w:t xml:space="preserve"> et al,</w:t>
      </w:r>
      <w:r w:rsidRPr="007F5BCB">
        <w:rPr>
          <w:noProof/>
          <w:sz w:val="20"/>
          <w:szCs w:val="20"/>
        </w:rPr>
        <w:t xml:space="preserve"> </w:t>
      </w:r>
      <w:r w:rsidRPr="007F5BCB">
        <w:rPr>
          <w:i/>
          <w:iCs/>
          <w:noProof/>
          <w:sz w:val="20"/>
          <w:szCs w:val="20"/>
        </w:rPr>
        <w:t>Neuroscientist</w:t>
      </w:r>
      <w:r w:rsidRPr="007F5BCB">
        <w:rPr>
          <w:noProof/>
          <w:sz w:val="20"/>
          <w:szCs w:val="20"/>
        </w:rPr>
        <w:t>, vol. 20, no. 5, 2014.</w:t>
      </w:r>
      <w:r w:rsidRPr="007F5BCB">
        <w:rPr>
          <w:rFonts w:ascii="Calibri" w:hAnsi="Calibri" w:cs="Calibri"/>
          <w:noProof/>
          <w:sz w:val="20"/>
          <w:szCs w:val="20"/>
        </w:rPr>
        <w:t xml:space="preserve"> </w:t>
      </w:r>
      <w:r w:rsidRPr="007F5BCB">
        <w:rPr>
          <w:sz w:val="20"/>
          <w:szCs w:val="20"/>
        </w:rPr>
        <w:fldChar w:fldCharType="end"/>
      </w:r>
    </w:p>
    <w:sectPr w:rsidR="00223E22" w:rsidRPr="007F5BCB" w:rsidSect="00441563">
      <w:pgSz w:w="12240" w:h="15840" w:code="1"/>
      <w:pgMar w:top="1062"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C285A" w14:textId="77777777" w:rsidR="00066437" w:rsidRDefault="00066437" w:rsidP="00917926">
      <w:r>
        <w:separator/>
      </w:r>
    </w:p>
  </w:endnote>
  <w:endnote w:type="continuationSeparator" w:id="0">
    <w:p w14:paraId="5BE3E8AE" w14:textId="77777777" w:rsidR="00066437" w:rsidRDefault="00066437" w:rsidP="0091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5364" w14:textId="77777777" w:rsidR="00066437" w:rsidRDefault="00066437" w:rsidP="00917926">
      <w:r>
        <w:separator/>
      </w:r>
    </w:p>
  </w:footnote>
  <w:footnote w:type="continuationSeparator" w:id="0">
    <w:p w14:paraId="2451C19E" w14:textId="77777777" w:rsidR="00066437" w:rsidRDefault="00066437" w:rsidP="009179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92026"/>
    <w:multiLevelType w:val="hybridMultilevel"/>
    <w:tmpl w:val="0ECAAF62"/>
    <w:lvl w:ilvl="0" w:tplc="04090001">
      <w:start w:val="1"/>
      <w:numFmt w:val="bullet"/>
      <w:lvlText w:val=""/>
      <w:lvlJc w:val="left"/>
      <w:pPr>
        <w:ind w:left="77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EE7E16"/>
    <w:multiLevelType w:val="singleLevel"/>
    <w:tmpl w:val="58E01E92"/>
    <w:lvl w:ilvl="0">
      <w:start w:val="1"/>
      <w:numFmt w:val="decimal"/>
      <w:lvlText w:val="%1."/>
      <w:lvlJc w:val="left"/>
      <w:pPr>
        <w:tabs>
          <w:tab w:val="num" w:pos="360"/>
        </w:tabs>
        <w:ind w:left="360" w:hanging="360"/>
      </w:pPr>
    </w:lvl>
  </w:abstractNum>
  <w:abstractNum w:abstractNumId="3" w15:restartNumberingAfterBreak="0">
    <w:nsid w:val="12405F9A"/>
    <w:multiLevelType w:val="hybridMultilevel"/>
    <w:tmpl w:val="D7EAB374"/>
    <w:lvl w:ilvl="0" w:tplc="0F96554C">
      <w:start w:val="1"/>
      <w:numFmt w:val="bullet"/>
      <w:lvlText w:val="•"/>
      <w:lvlJc w:val="left"/>
      <w:pPr>
        <w:tabs>
          <w:tab w:val="num" w:pos="720"/>
        </w:tabs>
        <w:ind w:left="720" w:hanging="360"/>
      </w:pPr>
      <w:rPr>
        <w:rFonts w:ascii="Arial" w:hAnsi="Arial" w:hint="default"/>
      </w:rPr>
    </w:lvl>
    <w:lvl w:ilvl="1" w:tplc="D564D9AC" w:tentative="1">
      <w:start w:val="1"/>
      <w:numFmt w:val="bullet"/>
      <w:lvlText w:val="•"/>
      <w:lvlJc w:val="left"/>
      <w:pPr>
        <w:tabs>
          <w:tab w:val="num" w:pos="1440"/>
        </w:tabs>
        <w:ind w:left="1440" w:hanging="360"/>
      </w:pPr>
      <w:rPr>
        <w:rFonts w:ascii="Arial" w:hAnsi="Arial" w:hint="default"/>
      </w:rPr>
    </w:lvl>
    <w:lvl w:ilvl="2" w:tplc="508C9D9E" w:tentative="1">
      <w:start w:val="1"/>
      <w:numFmt w:val="bullet"/>
      <w:lvlText w:val="•"/>
      <w:lvlJc w:val="left"/>
      <w:pPr>
        <w:tabs>
          <w:tab w:val="num" w:pos="2160"/>
        </w:tabs>
        <w:ind w:left="2160" w:hanging="360"/>
      </w:pPr>
      <w:rPr>
        <w:rFonts w:ascii="Arial" w:hAnsi="Arial" w:hint="default"/>
      </w:rPr>
    </w:lvl>
    <w:lvl w:ilvl="3" w:tplc="56485F26" w:tentative="1">
      <w:start w:val="1"/>
      <w:numFmt w:val="bullet"/>
      <w:lvlText w:val="•"/>
      <w:lvlJc w:val="left"/>
      <w:pPr>
        <w:tabs>
          <w:tab w:val="num" w:pos="2880"/>
        </w:tabs>
        <w:ind w:left="2880" w:hanging="360"/>
      </w:pPr>
      <w:rPr>
        <w:rFonts w:ascii="Arial" w:hAnsi="Arial" w:hint="default"/>
      </w:rPr>
    </w:lvl>
    <w:lvl w:ilvl="4" w:tplc="B94081B4" w:tentative="1">
      <w:start w:val="1"/>
      <w:numFmt w:val="bullet"/>
      <w:lvlText w:val="•"/>
      <w:lvlJc w:val="left"/>
      <w:pPr>
        <w:tabs>
          <w:tab w:val="num" w:pos="3600"/>
        </w:tabs>
        <w:ind w:left="3600" w:hanging="360"/>
      </w:pPr>
      <w:rPr>
        <w:rFonts w:ascii="Arial" w:hAnsi="Arial" w:hint="default"/>
      </w:rPr>
    </w:lvl>
    <w:lvl w:ilvl="5" w:tplc="737006CC" w:tentative="1">
      <w:start w:val="1"/>
      <w:numFmt w:val="bullet"/>
      <w:lvlText w:val="•"/>
      <w:lvlJc w:val="left"/>
      <w:pPr>
        <w:tabs>
          <w:tab w:val="num" w:pos="4320"/>
        </w:tabs>
        <w:ind w:left="4320" w:hanging="360"/>
      </w:pPr>
      <w:rPr>
        <w:rFonts w:ascii="Arial" w:hAnsi="Arial" w:hint="default"/>
      </w:rPr>
    </w:lvl>
    <w:lvl w:ilvl="6" w:tplc="0FEC427A" w:tentative="1">
      <w:start w:val="1"/>
      <w:numFmt w:val="bullet"/>
      <w:lvlText w:val="•"/>
      <w:lvlJc w:val="left"/>
      <w:pPr>
        <w:tabs>
          <w:tab w:val="num" w:pos="5040"/>
        </w:tabs>
        <w:ind w:left="5040" w:hanging="360"/>
      </w:pPr>
      <w:rPr>
        <w:rFonts w:ascii="Arial" w:hAnsi="Arial" w:hint="default"/>
      </w:rPr>
    </w:lvl>
    <w:lvl w:ilvl="7" w:tplc="96C46DFA" w:tentative="1">
      <w:start w:val="1"/>
      <w:numFmt w:val="bullet"/>
      <w:lvlText w:val="•"/>
      <w:lvlJc w:val="left"/>
      <w:pPr>
        <w:tabs>
          <w:tab w:val="num" w:pos="5760"/>
        </w:tabs>
        <w:ind w:left="5760" w:hanging="360"/>
      </w:pPr>
      <w:rPr>
        <w:rFonts w:ascii="Arial" w:hAnsi="Arial" w:hint="default"/>
      </w:rPr>
    </w:lvl>
    <w:lvl w:ilvl="8" w:tplc="8D709F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877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6" w15:restartNumberingAfterBreak="0">
    <w:nsid w:val="7A904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E42B53"/>
    <w:multiLevelType w:val="singleLevel"/>
    <w:tmpl w:val="92101384"/>
    <w:lvl w:ilvl="0">
      <w:start w:val="1"/>
      <w:numFmt w:val="decimal"/>
      <w:lvlText w:val="3.%1 "/>
      <w:legacy w:legacy="1" w:legacySpace="0" w:legacyIndent="360"/>
      <w:lvlJc w:val="left"/>
      <w:pPr>
        <w:ind w:left="360" w:hanging="360"/>
      </w:pPr>
      <w:rPr>
        <w:b w:val="0"/>
        <w:i/>
        <w:sz w:val="20"/>
      </w:rPr>
    </w:lvl>
  </w:abstractNum>
  <w:num w:numId="1">
    <w:abstractNumId w:val="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6"/>
  </w:num>
  <w:num w:numId="4">
    <w:abstractNumId w:val="4"/>
  </w:num>
  <w:num w:numId="5">
    <w:abstractNumId w:val="5"/>
  </w:num>
  <w:num w:numId="6">
    <w:abstractNumId w:val="2"/>
  </w:num>
  <w:num w:numId="7">
    <w:abstractNumId w:val="3"/>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6B"/>
    <w:rsid w:val="0000099B"/>
    <w:rsid w:val="00003013"/>
    <w:rsid w:val="0001317E"/>
    <w:rsid w:val="00015C01"/>
    <w:rsid w:val="00017F9E"/>
    <w:rsid w:val="000248C9"/>
    <w:rsid w:val="000429E0"/>
    <w:rsid w:val="00053A47"/>
    <w:rsid w:val="00054C4B"/>
    <w:rsid w:val="00062808"/>
    <w:rsid w:val="00066224"/>
    <w:rsid w:val="00066437"/>
    <w:rsid w:val="00072FB0"/>
    <w:rsid w:val="000770FD"/>
    <w:rsid w:val="000779F7"/>
    <w:rsid w:val="00080FE1"/>
    <w:rsid w:val="00093B76"/>
    <w:rsid w:val="0009730B"/>
    <w:rsid w:val="000A4893"/>
    <w:rsid w:val="000C0CB1"/>
    <w:rsid w:val="000C749B"/>
    <w:rsid w:val="000D407C"/>
    <w:rsid w:val="000F5D02"/>
    <w:rsid w:val="00107AF7"/>
    <w:rsid w:val="00131034"/>
    <w:rsid w:val="0013238A"/>
    <w:rsid w:val="00141686"/>
    <w:rsid w:val="0014320D"/>
    <w:rsid w:val="00152BF0"/>
    <w:rsid w:val="00153834"/>
    <w:rsid w:val="00167EC7"/>
    <w:rsid w:val="0018446B"/>
    <w:rsid w:val="001A1183"/>
    <w:rsid w:val="001A7FB2"/>
    <w:rsid w:val="001B2674"/>
    <w:rsid w:val="001D1832"/>
    <w:rsid w:val="001D737C"/>
    <w:rsid w:val="001D7C60"/>
    <w:rsid w:val="001E19D2"/>
    <w:rsid w:val="001F2999"/>
    <w:rsid w:val="001F4584"/>
    <w:rsid w:val="00204087"/>
    <w:rsid w:val="002075FD"/>
    <w:rsid w:val="002143C9"/>
    <w:rsid w:val="00216F17"/>
    <w:rsid w:val="00223E22"/>
    <w:rsid w:val="00225FCE"/>
    <w:rsid w:val="00231A05"/>
    <w:rsid w:val="00242A3B"/>
    <w:rsid w:val="00245A6D"/>
    <w:rsid w:val="00257A4E"/>
    <w:rsid w:val="0026000C"/>
    <w:rsid w:val="00274EBF"/>
    <w:rsid w:val="00281596"/>
    <w:rsid w:val="002942F1"/>
    <w:rsid w:val="002955F4"/>
    <w:rsid w:val="002A3F28"/>
    <w:rsid w:val="002B5DD9"/>
    <w:rsid w:val="002B713A"/>
    <w:rsid w:val="002C3C78"/>
    <w:rsid w:val="002C5DF9"/>
    <w:rsid w:val="00305837"/>
    <w:rsid w:val="00307E6F"/>
    <w:rsid w:val="00310DEE"/>
    <w:rsid w:val="0031424D"/>
    <w:rsid w:val="00316F00"/>
    <w:rsid w:val="00327A77"/>
    <w:rsid w:val="00333FF3"/>
    <w:rsid w:val="00336D25"/>
    <w:rsid w:val="00347675"/>
    <w:rsid w:val="00350C78"/>
    <w:rsid w:val="00351749"/>
    <w:rsid w:val="00365774"/>
    <w:rsid w:val="0036593F"/>
    <w:rsid w:val="003738B9"/>
    <w:rsid w:val="003853F7"/>
    <w:rsid w:val="00391E7C"/>
    <w:rsid w:val="003A2DD8"/>
    <w:rsid w:val="003B44FA"/>
    <w:rsid w:val="003C07C0"/>
    <w:rsid w:val="003C3814"/>
    <w:rsid w:val="003D1868"/>
    <w:rsid w:val="003E2736"/>
    <w:rsid w:val="003E31AC"/>
    <w:rsid w:val="003F11B2"/>
    <w:rsid w:val="00415E74"/>
    <w:rsid w:val="00421D14"/>
    <w:rsid w:val="004232B1"/>
    <w:rsid w:val="00431739"/>
    <w:rsid w:val="004357D7"/>
    <w:rsid w:val="004371A3"/>
    <w:rsid w:val="00441563"/>
    <w:rsid w:val="0044269C"/>
    <w:rsid w:val="00442C14"/>
    <w:rsid w:val="004571BC"/>
    <w:rsid w:val="004635B4"/>
    <w:rsid w:val="0046700A"/>
    <w:rsid w:val="004753AA"/>
    <w:rsid w:val="004B73C5"/>
    <w:rsid w:val="004B78CC"/>
    <w:rsid w:val="004C1BF4"/>
    <w:rsid w:val="004C3053"/>
    <w:rsid w:val="004F2529"/>
    <w:rsid w:val="004F26B4"/>
    <w:rsid w:val="00521F91"/>
    <w:rsid w:val="00533618"/>
    <w:rsid w:val="00541E65"/>
    <w:rsid w:val="0054533F"/>
    <w:rsid w:val="00551D4D"/>
    <w:rsid w:val="0056089F"/>
    <w:rsid w:val="0056191D"/>
    <w:rsid w:val="00562F5B"/>
    <w:rsid w:val="00574520"/>
    <w:rsid w:val="00576500"/>
    <w:rsid w:val="00590765"/>
    <w:rsid w:val="005917B3"/>
    <w:rsid w:val="00595845"/>
    <w:rsid w:val="005A04A1"/>
    <w:rsid w:val="005A2E8B"/>
    <w:rsid w:val="005B2441"/>
    <w:rsid w:val="005C7B1D"/>
    <w:rsid w:val="005D74D1"/>
    <w:rsid w:val="005E0EC0"/>
    <w:rsid w:val="005E5049"/>
    <w:rsid w:val="005F2614"/>
    <w:rsid w:val="006077D3"/>
    <w:rsid w:val="0061289A"/>
    <w:rsid w:val="006130CD"/>
    <w:rsid w:val="00614CD5"/>
    <w:rsid w:val="00620A1B"/>
    <w:rsid w:val="0062758F"/>
    <w:rsid w:val="00630AD5"/>
    <w:rsid w:val="00643DB3"/>
    <w:rsid w:val="00657AC6"/>
    <w:rsid w:val="00660AFC"/>
    <w:rsid w:val="0066269B"/>
    <w:rsid w:val="0069457E"/>
    <w:rsid w:val="006A0C05"/>
    <w:rsid w:val="006A0CFF"/>
    <w:rsid w:val="006A15A7"/>
    <w:rsid w:val="006A56CB"/>
    <w:rsid w:val="006C45DB"/>
    <w:rsid w:val="006D1F04"/>
    <w:rsid w:val="006D7612"/>
    <w:rsid w:val="006E050E"/>
    <w:rsid w:val="006E29AD"/>
    <w:rsid w:val="006F0BE0"/>
    <w:rsid w:val="00707BA5"/>
    <w:rsid w:val="00713D41"/>
    <w:rsid w:val="007263D7"/>
    <w:rsid w:val="0073379E"/>
    <w:rsid w:val="00736518"/>
    <w:rsid w:val="007504F3"/>
    <w:rsid w:val="0075306A"/>
    <w:rsid w:val="007600DA"/>
    <w:rsid w:val="0076567F"/>
    <w:rsid w:val="00791F6A"/>
    <w:rsid w:val="007A3B48"/>
    <w:rsid w:val="007A3DA2"/>
    <w:rsid w:val="007B2B99"/>
    <w:rsid w:val="007B6153"/>
    <w:rsid w:val="007E43B8"/>
    <w:rsid w:val="007F0992"/>
    <w:rsid w:val="007F0F58"/>
    <w:rsid w:val="007F5BCB"/>
    <w:rsid w:val="00811333"/>
    <w:rsid w:val="00817540"/>
    <w:rsid w:val="0082685F"/>
    <w:rsid w:val="008415BA"/>
    <w:rsid w:val="00851674"/>
    <w:rsid w:val="008601D5"/>
    <w:rsid w:val="008651C4"/>
    <w:rsid w:val="0086611B"/>
    <w:rsid w:val="00871A34"/>
    <w:rsid w:val="008721D9"/>
    <w:rsid w:val="00872E32"/>
    <w:rsid w:val="00876FBC"/>
    <w:rsid w:val="00884F8D"/>
    <w:rsid w:val="00895CBA"/>
    <w:rsid w:val="008A247C"/>
    <w:rsid w:val="008B1DAF"/>
    <w:rsid w:val="008B55A8"/>
    <w:rsid w:val="008C172D"/>
    <w:rsid w:val="008C5BEE"/>
    <w:rsid w:val="008F7086"/>
    <w:rsid w:val="00917926"/>
    <w:rsid w:val="009221E3"/>
    <w:rsid w:val="009260BC"/>
    <w:rsid w:val="00951E3E"/>
    <w:rsid w:val="00957AB1"/>
    <w:rsid w:val="00965E1B"/>
    <w:rsid w:val="0097050B"/>
    <w:rsid w:val="00975B2E"/>
    <w:rsid w:val="00976C8B"/>
    <w:rsid w:val="00984E59"/>
    <w:rsid w:val="00985128"/>
    <w:rsid w:val="00996D8E"/>
    <w:rsid w:val="009B0E23"/>
    <w:rsid w:val="009B7834"/>
    <w:rsid w:val="009C0913"/>
    <w:rsid w:val="009C3E16"/>
    <w:rsid w:val="009E0F9F"/>
    <w:rsid w:val="009E5BA7"/>
    <w:rsid w:val="009E6FE3"/>
    <w:rsid w:val="009F0CFA"/>
    <w:rsid w:val="009F18DE"/>
    <w:rsid w:val="00A05FD4"/>
    <w:rsid w:val="00A11C88"/>
    <w:rsid w:val="00A1514F"/>
    <w:rsid w:val="00A159A9"/>
    <w:rsid w:val="00A228EA"/>
    <w:rsid w:val="00A2563F"/>
    <w:rsid w:val="00A31381"/>
    <w:rsid w:val="00A3651E"/>
    <w:rsid w:val="00A408E8"/>
    <w:rsid w:val="00A61C78"/>
    <w:rsid w:val="00A62FD5"/>
    <w:rsid w:val="00A70D17"/>
    <w:rsid w:val="00A70F2B"/>
    <w:rsid w:val="00A75D53"/>
    <w:rsid w:val="00A77956"/>
    <w:rsid w:val="00A9327A"/>
    <w:rsid w:val="00AA00A1"/>
    <w:rsid w:val="00AC739F"/>
    <w:rsid w:val="00AC7B53"/>
    <w:rsid w:val="00AD2810"/>
    <w:rsid w:val="00AE2BAE"/>
    <w:rsid w:val="00AE3275"/>
    <w:rsid w:val="00B04F10"/>
    <w:rsid w:val="00B10826"/>
    <w:rsid w:val="00B15F7F"/>
    <w:rsid w:val="00B2370B"/>
    <w:rsid w:val="00B30D71"/>
    <w:rsid w:val="00B312AF"/>
    <w:rsid w:val="00B371D5"/>
    <w:rsid w:val="00B438A3"/>
    <w:rsid w:val="00B504D8"/>
    <w:rsid w:val="00B53512"/>
    <w:rsid w:val="00B53BA8"/>
    <w:rsid w:val="00B609B2"/>
    <w:rsid w:val="00B62AC6"/>
    <w:rsid w:val="00B703C3"/>
    <w:rsid w:val="00B754D2"/>
    <w:rsid w:val="00B9357A"/>
    <w:rsid w:val="00B941D2"/>
    <w:rsid w:val="00BC10B3"/>
    <w:rsid w:val="00BE3253"/>
    <w:rsid w:val="00BF1F3B"/>
    <w:rsid w:val="00BF3231"/>
    <w:rsid w:val="00BF4C85"/>
    <w:rsid w:val="00C320B7"/>
    <w:rsid w:val="00C431D8"/>
    <w:rsid w:val="00C43969"/>
    <w:rsid w:val="00C51AF7"/>
    <w:rsid w:val="00C555F4"/>
    <w:rsid w:val="00C56A1A"/>
    <w:rsid w:val="00C61550"/>
    <w:rsid w:val="00C65173"/>
    <w:rsid w:val="00C651D3"/>
    <w:rsid w:val="00C86CAD"/>
    <w:rsid w:val="00C9291A"/>
    <w:rsid w:val="00CB00ED"/>
    <w:rsid w:val="00CB5E7F"/>
    <w:rsid w:val="00CB7D30"/>
    <w:rsid w:val="00CC17C0"/>
    <w:rsid w:val="00CC26D6"/>
    <w:rsid w:val="00CC3D9D"/>
    <w:rsid w:val="00CD0227"/>
    <w:rsid w:val="00CD501B"/>
    <w:rsid w:val="00CE7532"/>
    <w:rsid w:val="00CF0EEE"/>
    <w:rsid w:val="00D04094"/>
    <w:rsid w:val="00D92837"/>
    <w:rsid w:val="00D94215"/>
    <w:rsid w:val="00D95930"/>
    <w:rsid w:val="00D95E44"/>
    <w:rsid w:val="00D96316"/>
    <w:rsid w:val="00DA3DDA"/>
    <w:rsid w:val="00DA4DB5"/>
    <w:rsid w:val="00DD25B0"/>
    <w:rsid w:val="00DD6B53"/>
    <w:rsid w:val="00DE4855"/>
    <w:rsid w:val="00DE4BED"/>
    <w:rsid w:val="00DF05F2"/>
    <w:rsid w:val="00E02B30"/>
    <w:rsid w:val="00E122DC"/>
    <w:rsid w:val="00E125DA"/>
    <w:rsid w:val="00E2496A"/>
    <w:rsid w:val="00E26E21"/>
    <w:rsid w:val="00E322F3"/>
    <w:rsid w:val="00E3526D"/>
    <w:rsid w:val="00E75050"/>
    <w:rsid w:val="00E8063B"/>
    <w:rsid w:val="00E9295A"/>
    <w:rsid w:val="00EA3A5E"/>
    <w:rsid w:val="00EB7EAE"/>
    <w:rsid w:val="00ED26E6"/>
    <w:rsid w:val="00ED32C8"/>
    <w:rsid w:val="00ED5C80"/>
    <w:rsid w:val="00EE13F4"/>
    <w:rsid w:val="00EF20C1"/>
    <w:rsid w:val="00F0798D"/>
    <w:rsid w:val="00F13638"/>
    <w:rsid w:val="00F278CE"/>
    <w:rsid w:val="00F35E2B"/>
    <w:rsid w:val="00F44CDB"/>
    <w:rsid w:val="00F46689"/>
    <w:rsid w:val="00F4677F"/>
    <w:rsid w:val="00F6272A"/>
    <w:rsid w:val="00F8276D"/>
    <w:rsid w:val="00F832AB"/>
    <w:rsid w:val="00F90379"/>
    <w:rsid w:val="00FD4037"/>
    <w:rsid w:val="00FD413B"/>
    <w:rsid w:val="00FD71DD"/>
    <w:rsid w:val="00FE5F14"/>
    <w:rsid w:val="00FE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C022C"/>
  <w15:chartTrackingRefBased/>
  <w15:docId w15:val="{7AC54327-9479-44FE-A562-BFBE6316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Title">
    <w:name w:val="MC Title"/>
    <w:basedOn w:val="Normal"/>
    <w:next w:val="Normal"/>
    <w:pPr>
      <w:jc w:val="center"/>
    </w:pPr>
    <w:rPr>
      <w:b/>
      <w:sz w:val="36"/>
    </w:rPr>
  </w:style>
  <w:style w:type="paragraph" w:customStyle="1" w:styleId="MCemail">
    <w:name w:val="MC email"/>
    <w:basedOn w:val="Normal"/>
    <w:pPr>
      <w:jc w:val="center"/>
    </w:pPr>
    <w:rPr>
      <w:sz w:val="18"/>
    </w:rPr>
  </w:style>
  <w:style w:type="paragraph" w:customStyle="1" w:styleId="MCTableHead">
    <w:name w:val="MC Table Head"/>
    <w:basedOn w:val="MCBody"/>
    <w:pPr>
      <w:spacing w:after="120"/>
      <w:jc w:val="center"/>
    </w:pPr>
    <w:rPr>
      <w:sz w:val="16"/>
    </w:rPr>
  </w:style>
  <w:style w:type="paragraph" w:customStyle="1" w:styleId="MCBody">
    <w:name w:val="MC Body"/>
    <w:next w:val="MCBodySP"/>
    <w:pPr>
      <w:spacing w:before="120"/>
      <w:jc w:val="both"/>
    </w:pPr>
  </w:style>
  <w:style w:type="paragraph" w:customStyle="1" w:styleId="MCBodySP">
    <w:name w:val="MC Body SP"/>
    <w:basedOn w:val="MCBody"/>
    <w:pPr>
      <w:spacing w:before="0"/>
      <w:ind w:firstLine="288"/>
      <w:jc w:val="left"/>
    </w:pPr>
  </w:style>
  <w:style w:type="paragraph" w:customStyle="1" w:styleId="MCTableText">
    <w:name w:val="MC Table Text"/>
    <w:basedOn w:val="MCBody"/>
    <w:pPr>
      <w:spacing w:before="0"/>
      <w:jc w:val="left"/>
    </w:pPr>
  </w:style>
  <w:style w:type="paragraph" w:customStyle="1" w:styleId="MCSectionHead">
    <w:name w:val="MC Section Head"/>
    <w:basedOn w:val="MCBody"/>
    <w:next w:val="MCSectionSubhead"/>
    <w:rPr>
      <w:b/>
    </w:rPr>
  </w:style>
  <w:style w:type="paragraph" w:customStyle="1" w:styleId="MCSectionSubhead">
    <w:name w:val="MC Section Subhead"/>
    <w:basedOn w:val="MCBody"/>
    <w:next w:val="MCBody"/>
    <w:rPr>
      <w:i/>
    </w:rPr>
  </w:style>
  <w:style w:type="paragraph" w:customStyle="1" w:styleId="MCFigureCaption">
    <w:name w:val="MC Figure Caption"/>
    <w:basedOn w:val="MCBody"/>
    <w:next w:val="MCBodySP"/>
    <w:pPr>
      <w:jc w:val="center"/>
    </w:pPr>
    <w:rPr>
      <w:sz w:val="18"/>
    </w:rPr>
  </w:style>
  <w:style w:type="paragraph" w:customStyle="1" w:styleId="MCReference">
    <w:name w:val="MC Reference"/>
    <w:basedOn w:val="MCBody"/>
    <w:pPr>
      <w:spacing w:before="0"/>
      <w:jc w:val="left"/>
    </w:pPr>
    <w:rPr>
      <w:sz w:val="16"/>
    </w:rPr>
  </w:style>
  <w:style w:type="paragraph" w:styleId="BodyText">
    <w:name w:val="Body Text"/>
    <w:basedOn w:val="Normal"/>
    <w:pPr>
      <w:spacing w:before="120"/>
      <w:jc w:val="both"/>
    </w:pPr>
  </w:style>
  <w:style w:type="paragraph" w:customStyle="1" w:styleId="MCAuthor">
    <w:name w:val="MC Author"/>
    <w:basedOn w:val="MCBody"/>
    <w:next w:val="MCAuthorAffiliation"/>
    <w:pPr>
      <w:spacing w:before="0"/>
      <w:jc w:val="center"/>
    </w:pPr>
    <w:rPr>
      <w:b/>
    </w:rPr>
  </w:style>
  <w:style w:type="paragraph" w:customStyle="1" w:styleId="MCAuthorAffiliation">
    <w:name w:val="MC Author Affiliation"/>
    <w:basedOn w:val="MCBody"/>
    <w:next w:val="Normal"/>
    <w:pPr>
      <w:spacing w:before="0"/>
      <w:jc w:val="center"/>
    </w:pPr>
    <w:rPr>
      <w:rFonts w:ascii="Times" w:hAnsi="Times"/>
      <w:i/>
      <w:sz w:val="16"/>
    </w:rPr>
  </w:style>
  <w:style w:type="paragraph" w:styleId="BodyText2">
    <w:name w:val="Body Text 2"/>
    <w:basedOn w:val="Normal"/>
    <w:rPr>
      <w:sz w:val="44"/>
    </w:rPr>
  </w:style>
  <w:style w:type="character" w:styleId="Hyperlink">
    <w:name w:val="Hyperlink"/>
    <w:rPr>
      <w:color w:val="0000FF"/>
      <w:u w:val="single"/>
    </w:rPr>
  </w:style>
  <w:style w:type="paragraph" w:customStyle="1" w:styleId="MCCopyright">
    <w:name w:val="MC Copyright"/>
    <w:basedOn w:val="Normal"/>
    <w:next w:val="MCOCIS"/>
    <w:pPr>
      <w:ind w:left="720" w:right="648"/>
      <w:jc w:val="both"/>
    </w:pPr>
    <w:rPr>
      <w:rFonts w:ascii="Times" w:hAnsi="Times"/>
      <w:sz w:val="18"/>
    </w:rPr>
  </w:style>
  <w:style w:type="paragraph" w:customStyle="1" w:styleId="MCOCIS">
    <w:name w:val="MC OCIS"/>
    <w:basedOn w:val="MCCopyright"/>
    <w:rPr>
      <w:rFonts w:ascii="Times New Roman" w:hAnsi="Times New Roman"/>
      <w:sz w:val="16"/>
    </w:rPr>
  </w:style>
  <w:style w:type="character" w:styleId="FollowedHyperlink">
    <w:name w:val="FollowedHyperlink"/>
    <w:rPr>
      <w:color w:val="800080"/>
      <w:u w:val="single"/>
    </w:rPr>
  </w:style>
  <w:style w:type="paragraph" w:customStyle="1" w:styleId="bodytext0">
    <w:name w:val="bodytext"/>
    <w:basedOn w:val="Normal"/>
    <w:pPr>
      <w:spacing w:before="100" w:beforeAutospacing="1" w:after="100" w:afterAutospacing="1"/>
      <w:ind w:left="450"/>
    </w:pPr>
    <w:rPr>
      <w:rFonts w:ascii="Verdana" w:hAnsi="Verdana"/>
      <w:color w:val="666666"/>
      <w:sz w:val="17"/>
      <w:szCs w:val="17"/>
    </w:rPr>
  </w:style>
  <w:style w:type="paragraph" w:customStyle="1" w:styleId="MCAbstract">
    <w:name w:val="MC Abstract"/>
    <w:basedOn w:val="Normal"/>
    <w:pPr>
      <w:ind w:left="720" w:right="720"/>
      <w:jc w:val="both"/>
    </w:pPr>
  </w:style>
  <w:style w:type="paragraph" w:styleId="BalloonText">
    <w:name w:val="Balloon Text"/>
    <w:basedOn w:val="Normal"/>
    <w:link w:val="BalloonTextChar"/>
    <w:rsid w:val="00614CD5"/>
    <w:rPr>
      <w:rFonts w:ascii="Segoe UI" w:hAnsi="Segoe UI" w:cs="Segoe UI"/>
      <w:sz w:val="18"/>
      <w:szCs w:val="18"/>
    </w:rPr>
  </w:style>
  <w:style w:type="character" w:customStyle="1" w:styleId="BalloonTextChar">
    <w:name w:val="Balloon Text Char"/>
    <w:link w:val="BalloonText"/>
    <w:rsid w:val="00614CD5"/>
    <w:rPr>
      <w:rFonts w:ascii="Segoe UI" w:hAnsi="Segoe UI" w:cs="Segoe UI"/>
      <w:sz w:val="18"/>
      <w:szCs w:val="18"/>
    </w:rPr>
  </w:style>
  <w:style w:type="paragraph" w:styleId="Header">
    <w:name w:val="header"/>
    <w:basedOn w:val="Normal"/>
    <w:link w:val="HeaderChar"/>
    <w:rsid w:val="00917926"/>
    <w:pPr>
      <w:tabs>
        <w:tab w:val="center" w:pos="4680"/>
        <w:tab w:val="right" w:pos="9360"/>
      </w:tabs>
    </w:pPr>
  </w:style>
  <w:style w:type="character" w:customStyle="1" w:styleId="HeaderChar">
    <w:name w:val="Header Char"/>
    <w:basedOn w:val="DefaultParagraphFont"/>
    <w:link w:val="Header"/>
    <w:rsid w:val="00917926"/>
  </w:style>
  <w:style w:type="paragraph" w:styleId="Footer">
    <w:name w:val="footer"/>
    <w:basedOn w:val="Normal"/>
    <w:link w:val="FooterChar"/>
    <w:rsid w:val="00917926"/>
    <w:pPr>
      <w:tabs>
        <w:tab w:val="center" w:pos="4680"/>
        <w:tab w:val="right" w:pos="9360"/>
      </w:tabs>
    </w:pPr>
  </w:style>
  <w:style w:type="character" w:customStyle="1" w:styleId="FooterChar">
    <w:name w:val="Footer Char"/>
    <w:basedOn w:val="DefaultParagraphFont"/>
    <w:link w:val="Footer"/>
    <w:rsid w:val="00917926"/>
  </w:style>
  <w:style w:type="paragraph" w:styleId="ListParagraph">
    <w:name w:val="List Paragraph"/>
    <w:basedOn w:val="Normal"/>
    <w:uiPriority w:val="34"/>
    <w:qFormat/>
    <w:rsid w:val="006E050E"/>
    <w:pPr>
      <w:ind w:left="720"/>
      <w:contextualSpacing/>
    </w:pPr>
    <w:rPr>
      <w:sz w:val="24"/>
      <w:szCs w:val="24"/>
    </w:rPr>
  </w:style>
  <w:style w:type="paragraph" w:styleId="Caption">
    <w:name w:val="caption"/>
    <w:basedOn w:val="Normal"/>
    <w:next w:val="Normal"/>
    <w:uiPriority w:val="35"/>
    <w:unhideWhenUsed/>
    <w:qFormat/>
    <w:rsid w:val="0056089F"/>
    <w:pPr>
      <w:spacing w:after="200"/>
    </w:pPr>
    <w:rPr>
      <w:i/>
      <w:iCs/>
      <w:color w:val="44546A" w:themeColor="text2"/>
      <w:sz w:val="18"/>
      <w:szCs w:val="18"/>
    </w:rPr>
  </w:style>
  <w:style w:type="character" w:styleId="CommentReference">
    <w:name w:val="annotation reference"/>
    <w:basedOn w:val="DefaultParagraphFont"/>
    <w:rsid w:val="00533618"/>
    <w:rPr>
      <w:sz w:val="18"/>
      <w:szCs w:val="18"/>
    </w:rPr>
  </w:style>
  <w:style w:type="paragraph" w:styleId="CommentText">
    <w:name w:val="annotation text"/>
    <w:basedOn w:val="Normal"/>
    <w:link w:val="CommentTextChar"/>
    <w:rsid w:val="00533618"/>
    <w:rPr>
      <w:sz w:val="24"/>
      <w:szCs w:val="24"/>
    </w:rPr>
  </w:style>
  <w:style w:type="character" w:customStyle="1" w:styleId="CommentTextChar">
    <w:name w:val="Comment Text Char"/>
    <w:basedOn w:val="DefaultParagraphFont"/>
    <w:link w:val="CommentText"/>
    <w:rsid w:val="00533618"/>
    <w:rPr>
      <w:sz w:val="24"/>
      <w:szCs w:val="24"/>
    </w:rPr>
  </w:style>
  <w:style w:type="paragraph" w:styleId="CommentSubject">
    <w:name w:val="annotation subject"/>
    <w:basedOn w:val="CommentText"/>
    <w:next w:val="CommentText"/>
    <w:link w:val="CommentSubjectChar"/>
    <w:rsid w:val="00533618"/>
    <w:rPr>
      <w:b/>
      <w:bCs/>
      <w:sz w:val="20"/>
      <w:szCs w:val="20"/>
    </w:rPr>
  </w:style>
  <w:style w:type="character" w:customStyle="1" w:styleId="CommentSubjectChar">
    <w:name w:val="Comment Subject Char"/>
    <w:basedOn w:val="CommentTextChar"/>
    <w:link w:val="CommentSubject"/>
    <w:rsid w:val="00533618"/>
    <w:rPr>
      <w:b/>
      <w:bCs/>
      <w:sz w:val="24"/>
      <w:szCs w:val="24"/>
    </w:rPr>
  </w:style>
  <w:style w:type="paragraph" w:styleId="Title">
    <w:name w:val="Title"/>
    <w:basedOn w:val="Normal"/>
    <w:next w:val="Normal"/>
    <w:link w:val="TitleChar"/>
    <w:uiPriority w:val="10"/>
    <w:qFormat/>
    <w:rsid w:val="00551D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4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551D4D"/>
    <w:pPr>
      <w:spacing w:before="100" w:beforeAutospacing="1" w:after="100" w:afterAutospacing="1"/>
    </w:pPr>
    <w:rPr>
      <w:rFonts w:eastAsiaTheme="minorEastAsia"/>
      <w:sz w:val="24"/>
      <w:szCs w:val="24"/>
    </w:rPr>
  </w:style>
  <w:style w:type="paragraph" w:customStyle="1" w:styleId="Head1">
    <w:name w:val="Head 1"/>
    <w:basedOn w:val="Normal"/>
    <w:autoRedefine/>
    <w:rsid w:val="00080FE1"/>
    <w:pPr>
      <w:spacing w:line="360" w:lineRule="auto"/>
    </w:pPr>
    <w:rPr>
      <w:rFonts w:eastAsia="MS Mincho"/>
      <w:b/>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798">
      <w:bodyDiv w:val="1"/>
      <w:marLeft w:val="0"/>
      <w:marRight w:val="0"/>
      <w:marTop w:val="0"/>
      <w:marBottom w:val="0"/>
      <w:divBdr>
        <w:top w:val="none" w:sz="0" w:space="0" w:color="auto"/>
        <w:left w:val="none" w:sz="0" w:space="0" w:color="auto"/>
        <w:bottom w:val="none" w:sz="0" w:space="0" w:color="auto"/>
        <w:right w:val="none" w:sz="0" w:space="0" w:color="auto"/>
      </w:divBdr>
      <w:divsChild>
        <w:div w:id="93330110">
          <w:marLeft w:val="0"/>
          <w:marRight w:val="0"/>
          <w:marTop w:val="0"/>
          <w:marBottom w:val="0"/>
          <w:divBdr>
            <w:top w:val="none" w:sz="0" w:space="0" w:color="auto"/>
            <w:left w:val="none" w:sz="0" w:space="0" w:color="auto"/>
            <w:bottom w:val="none" w:sz="0" w:space="0" w:color="auto"/>
            <w:right w:val="none" w:sz="0" w:space="0" w:color="auto"/>
          </w:divBdr>
        </w:div>
        <w:div w:id="728459208">
          <w:marLeft w:val="0"/>
          <w:marRight w:val="0"/>
          <w:marTop w:val="0"/>
          <w:marBottom w:val="0"/>
          <w:divBdr>
            <w:top w:val="none" w:sz="0" w:space="0" w:color="auto"/>
            <w:left w:val="none" w:sz="0" w:space="0" w:color="auto"/>
            <w:bottom w:val="none" w:sz="0" w:space="0" w:color="auto"/>
            <w:right w:val="none" w:sz="0" w:space="0" w:color="auto"/>
          </w:divBdr>
        </w:div>
        <w:div w:id="1793984373">
          <w:marLeft w:val="0"/>
          <w:marRight w:val="0"/>
          <w:marTop w:val="0"/>
          <w:marBottom w:val="0"/>
          <w:divBdr>
            <w:top w:val="none" w:sz="0" w:space="0" w:color="auto"/>
            <w:left w:val="none" w:sz="0" w:space="0" w:color="auto"/>
            <w:bottom w:val="none" w:sz="0" w:space="0" w:color="auto"/>
            <w:right w:val="none" w:sz="0" w:space="0" w:color="auto"/>
          </w:divBdr>
        </w:div>
        <w:div w:id="1801612903">
          <w:marLeft w:val="0"/>
          <w:marRight w:val="0"/>
          <w:marTop w:val="0"/>
          <w:marBottom w:val="0"/>
          <w:divBdr>
            <w:top w:val="none" w:sz="0" w:space="0" w:color="auto"/>
            <w:left w:val="none" w:sz="0" w:space="0" w:color="auto"/>
            <w:bottom w:val="none" w:sz="0" w:space="0" w:color="auto"/>
            <w:right w:val="none" w:sz="0" w:space="0" w:color="auto"/>
          </w:divBdr>
        </w:div>
      </w:divsChild>
    </w:div>
    <w:div w:id="105120440">
      <w:bodyDiv w:val="1"/>
      <w:marLeft w:val="0"/>
      <w:marRight w:val="0"/>
      <w:marTop w:val="0"/>
      <w:marBottom w:val="0"/>
      <w:divBdr>
        <w:top w:val="none" w:sz="0" w:space="0" w:color="auto"/>
        <w:left w:val="none" w:sz="0" w:space="0" w:color="auto"/>
        <w:bottom w:val="none" w:sz="0" w:space="0" w:color="auto"/>
        <w:right w:val="none" w:sz="0" w:space="0" w:color="auto"/>
      </w:divBdr>
      <w:divsChild>
        <w:div w:id="130640816">
          <w:marLeft w:val="0"/>
          <w:marRight w:val="0"/>
          <w:marTop w:val="0"/>
          <w:marBottom w:val="0"/>
          <w:divBdr>
            <w:top w:val="none" w:sz="0" w:space="0" w:color="auto"/>
            <w:left w:val="none" w:sz="0" w:space="0" w:color="auto"/>
            <w:bottom w:val="none" w:sz="0" w:space="0" w:color="auto"/>
            <w:right w:val="none" w:sz="0" w:space="0" w:color="auto"/>
          </w:divBdr>
        </w:div>
        <w:div w:id="1708720484">
          <w:marLeft w:val="0"/>
          <w:marRight w:val="0"/>
          <w:marTop w:val="0"/>
          <w:marBottom w:val="0"/>
          <w:divBdr>
            <w:top w:val="none" w:sz="0" w:space="0" w:color="auto"/>
            <w:left w:val="none" w:sz="0" w:space="0" w:color="auto"/>
            <w:bottom w:val="none" w:sz="0" w:space="0" w:color="auto"/>
            <w:right w:val="none" w:sz="0" w:space="0" w:color="auto"/>
          </w:divBdr>
        </w:div>
        <w:div w:id="1829518133">
          <w:marLeft w:val="0"/>
          <w:marRight w:val="0"/>
          <w:marTop w:val="0"/>
          <w:marBottom w:val="0"/>
          <w:divBdr>
            <w:top w:val="none" w:sz="0" w:space="0" w:color="auto"/>
            <w:left w:val="none" w:sz="0" w:space="0" w:color="auto"/>
            <w:bottom w:val="none" w:sz="0" w:space="0" w:color="auto"/>
            <w:right w:val="none" w:sz="0" w:space="0" w:color="auto"/>
          </w:divBdr>
        </w:div>
      </w:divsChild>
    </w:div>
    <w:div w:id="342977330">
      <w:bodyDiv w:val="1"/>
      <w:marLeft w:val="0"/>
      <w:marRight w:val="0"/>
      <w:marTop w:val="0"/>
      <w:marBottom w:val="0"/>
      <w:divBdr>
        <w:top w:val="none" w:sz="0" w:space="0" w:color="auto"/>
        <w:left w:val="none" w:sz="0" w:space="0" w:color="auto"/>
        <w:bottom w:val="none" w:sz="0" w:space="0" w:color="auto"/>
        <w:right w:val="none" w:sz="0" w:space="0" w:color="auto"/>
      </w:divBdr>
      <w:divsChild>
        <w:div w:id="1779375000">
          <w:marLeft w:val="0"/>
          <w:marRight w:val="0"/>
          <w:marTop w:val="0"/>
          <w:marBottom w:val="0"/>
          <w:divBdr>
            <w:top w:val="none" w:sz="0" w:space="0" w:color="auto"/>
            <w:left w:val="none" w:sz="0" w:space="0" w:color="auto"/>
            <w:bottom w:val="none" w:sz="0" w:space="0" w:color="auto"/>
            <w:right w:val="none" w:sz="0" w:space="0" w:color="auto"/>
          </w:divBdr>
        </w:div>
        <w:div w:id="1900239954">
          <w:marLeft w:val="0"/>
          <w:marRight w:val="0"/>
          <w:marTop w:val="0"/>
          <w:marBottom w:val="0"/>
          <w:divBdr>
            <w:top w:val="none" w:sz="0" w:space="0" w:color="auto"/>
            <w:left w:val="none" w:sz="0" w:space="0" w:color="auto"/>
            <w:bottom w:val="none" w:sz="0" w:space="0" w:color="auto"/>
            <w:right w:val="none" w:sz="0" w:space="0" w:color="auto"/>
          </w:divBdr>
        </w:div>
      </w:divsChild>
    </w:div>
    <w:div w:id="617566981">
      <w:bodyDiv w:val="1"/>
      <w:marLeft w:val="0"/>
      <w:marRight w:val="0"/>
      <w:marTop w:val="0"/>
      <w:marBottom w:val="0"/>
      <w:divBdr>
        <w:top w:val="none" w:sz="0" w:space="0" w:color="auto"/>
        <w:left w:val="none" w:sz="0" w:space="0" w:color="auto"/>
        <w:bottom w:val="none" w:sz="0" w:space="0" w:color="auto"/>
        <w:right w:val="none" w:sz="0" w:space="0" w:color="auto"/>
      </w:divBdr>
    </w:div>
    <w:div w:id="922109593">
      <w:bodyDiv w:val="1"/>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
        <w:div w:id="692418743">
          <w:marLeft w:val="0"/>
          <w:marRight w:val="0"/>
          <w:marTop w:val="0"/>
          <w:marBottom w:val="0"/>
          <w:divBdr>
            <w:top w:val="none" w:sz="0" w:space="0" w:color="auto"/>
            <w:left w:val="none" w:sz="0" w:space="0" w:color="auto"/>
            <w:bottom w:val="none" w:sz="0" w:space="0" w:color="auto"/>
            <w:right w:val="none" w:sz="0" w:space="0" w:color="auto"/>
          </w:divBdr>
        </w:div>
        <w:div w:id="786968627">
          <w:marLeft w:val="0"/>
          <w:marRight w:val="0"/>
          <w:marTop w:val="0"/>
          <w:marBottom w:val="0"/>
          <w:divBdr>
            <w:top w:val="none" w:sz="0" w:space="0" w:color="auto"/>
            <w:left w:val="none" w:sz="0" w:space="0" w:color="auto"/>
            <w:bottom w:val="none" w:sz="0" w:space="0" w:color="auto"/>
            <w:right w:val="none" w:sz="0" w:space="0" w:color="auto"/>
          </w:divBdr>
        </w:div>
        <w:div w:id="923730409">
          <w:marLeft w:val="0"/>
          <w:marRight w:val="0"/>
          <w:marTop w:val="0"/>
          <w:marBottom w:val="0"/>
          <w:divBdr>
            <w:top w:val="none" w:sz="0" w:space="0" w:color="auto"/>
            <w:left w:val="none" w:sz="0" w:space="0" w:color="auto"/>
            <w:bottom w:val="none" w:sz="0" w:space="0" w:color="auto"/>
            <w:right w:val="none" w:sz="0" w:space="0" w:color="auto"/>
          </w:divBdr>
        </w:div>
        <w:div w:id="1201092907">
          <w:marLeft w:val="0"/>
          <w:marRight w:val="0"/>
          <w:marTop w:val="0"/>
          <w:marBottom w:val="0"/>
          <w:divBdr>
            <w:top w:val="none" w:sz="0" w:space="0" w:color="auto"/>
            <w:left w:val="none" w:sz="0" w:space="0" w:color="auto"/>
            <w:bottom w:val="none" w:sz="0" w:space="0" w:color="auto"/>
            <w:right w:val="none" w:sz="0" w:space="0" w:color="auto"/>
          </w:divBdr>
        </w:div>
        <w:div w:id="1287544933">
          <w:marLeft w:val="0"/>
          <w:marRight w:val="0"/>
          <w:marTop w:val="0"/>
          <w:marBottom w:val="0"/>
          <w:divBdr>
            <w:top w:val="none" w:sz="0" w:space="0" w:color="auto"/>
            <w:left w:val="none" w:sz="0" w:space="0" w:color="auto"/>
            <w:bottom w:val="none" w:sz="0" w:space="0" w:color="auto"/>
            <w:right w:val="none" w:sz="0" w:space="0" w:color="auto"/>
          </w:divBdr>
        </w:div>
      </w:divsChild>
    </w:div>
    <w:div w:id="1202132581">
      <w:bodyDiv w:val="1"/>
      <w:marLeft w:val="0"/>
      <w:marRight w:val="0"/>
      <w:marTop w:val="0"/>
      <w:marBottom w:val="0"/>
      <w:divBdr>
        <w:top w:val="none" w:sz="0" w:space="0" w:color="auto"/>
        <w:left w:val="none" w:sz="0" w:space="0" w:color="auto"/>
        <w:bottom w:val="none" w:sz="0" w:space="0" w:color="auto"/>
        <w:right w:val="none" w:sz="0" w:space="0" w:color="auto"/>
      </w:divBdr>
      <w:divsChild>
        <w:div w:id="402139554">
          <w:marLeft w:val="0"/>
          <w:marRight w:val="0"/>
          <w:marTop w:val="0"/>
          <w:marBottom w:val="0"/>
          <w:divBdr>
            <w:top w:val="none" w:sz="0" w:space="0" w:color="auto"/>
            <w:left w:val="none" w:sz="0" w:space="0" w:color="auto"/>
            <w:bottom w:val="none" w:sz="0" w:space="0" w:color="auto"/>
            <w:right w:val="none" w:sz="0" w:space="0" w:color="auto"/>
          </w:divBdr>
        </w:div>
        <w:div w:id="1137260331">
          <w:marLeft w:val="0"/>
          <w:marRight w:val="0"/>
          <w:marTop w:val="0"/>
          <w:marBottom w:val="0"/>
          <w:divBdr>
            <w:top w:val="none" w:sz="0" w:space="0" w:color="auto"/>
            <w:left w:val="none" w:sz="0" w:space="0" w:color="auto"/>
            <w:bottom w:val="none" w:sz="0" w:space="0" w:color="auto"/>
            <w:right w:val="none" w:sz="0" w:space="0" w:color="auto"/>
          </w:divBdr>
        </w:div>
        <w:div w:id="1162815693">
          <w:marLeft w:val="0"/>
          <w:marRight w:val="0"/>
          <w:marTop w:val="0"/>
          <w:marBottom w:val="0"/>
          <w:divBdr>
            <w:top w:val="none" w:sz="0" w:space="0" w:color="auto"/>
            <w:left w:val="none" w:sz="0" w:space="0" w:color="auto"/>
            <w:bottom w:val="none" w:sz="0" w:space="0" w:color="auto"/>
            <w:right w:val="none" w:sz="0" w:space="0" w:color="auto"/>
          </w:divBdr>
        </w:div>
      </w:divsChild>
    </w:div>
    <w:div w:id="1238905560">
      <w:bodyDiv w:val="1"/>
      <w:marLeft w:val="0"/>
      <w:marRight w:val="0"/>
      <w:marTop w:val="0"/>
      <w:marBottom w:val="0"/>
      <w:divBdr>
        <w:top w:val="none" w:sz="0" w:space="0" w:color="auto"/>
        <w:left w:val="none" w:sz="0" w:space="0" w:color="auto"/>
        <w:bottom w:val="none" w:sz="0" w:space="0" w:color="auto"/>
        <w:right w:val="none" w:sz="0" w:space="0" w:color="auto"/>
      </w:divBdr>
      <w:divsChild>
        <w:div w:id="476529337">
          <w:marLeft w:val="720"/>
          <w:marRight w:val="0"/>
          <w:marTop w:val="0"/>
          <w:marBottom w:val="0"/>
          <w:divBdr>
            <w:top w:val="none" w:sz="0" w:space="0" w:color="auto"/>
            <w:left w:val="none" w:sz="0" w:space="0" w:color="auto"/>
            <w:bottom w:val="none" w:sz="0" w:space="0" w:color="auto"/>
            <w:right w:val="none" w:sz="0" w:space="0" w:color="auto"/>
          </w:divBdr>
        </w:div>
      </w:divsChild>
    </w:div>
    <w:div w:id="1550340161">
      <w:bodyDiv w:val="1"/>
      <w:marLeft w:val="0"/>
      <w:marRight w:val="0"/>
      <w:marTop w:val="0"/>
      <w:marBottom w:val="0"/>
      <w:divBdr>
        <w:top w:val="none" w:sz="0" w:space="0" w:color="auto"/>
        <w:left w:val="none" w:sz="0" w:space="0" w:color="auto"/>
        <w:bottom w:val="none" w:sz="0" w:space="0" w:color="auto"/>
        <w:right w:val="none" w:sz="0" w:space="0" w:color="auto"/>
      </w:divBdr>
      <w:divsChild>
        <w:div w:id="27611533">
          <w:marLeft w:val="0"/>
          <w:marRight w:val="0"/>
          <w:marTop w:val="0"/>
          <w:marBottom w:val="0"/>
          <w:divBdr>
            <w:top w:val="none" w:sz="0" w:space="0" w:color="auto"/>
            <w:left w:val="none" w:sz="0" w:space="0" w:color="auto"/>
            <w:bottom w:val="none" w:sz="0" w:space="0" w:color="auto"/>
            <w:right w:val="none" w:sz="0" w:space="0" w:color="auto"/>
          </w:divBdr>
        </w:div>
        <w:div w:id="197552565">
          <w:marLeft w:val="0"/>
          <w:marRight w:val="0"/>
          <w:marTop w:val="0"/>
          <w:marBottom w:val="0"/>
          <w:divBdr>
            <w:top w:val="none" w:sz="0" w:space="0" w:color="auto"/>
            <w:left w:val="none" w:sz="0" w:space="0" w:color="auto"/>
            <w:bottom w:val="none" w:sz="0" w:space="0" w:color="auto"/>
            <w:right w:val="none" w:sz="0" w:space="0" w:color="auto"/>
          </w:divBdr>
        </w:div>
        <w:div w:id="568077448">
          <w:marLeft w:val="0"/>
          <w:marRight w:val="0"/>
          <w:marTop w:val="0"/>
          <w:marBottom w:val="0"/>
          <w:divBdr>
            <w:top w:val="none" w:sz="0" w:space="0" w:color="auto"/>
            <w:left w:val="none" w:sz="0" w:space="0" w:color="auto"/>
            <w:bottom w:val="none" w:sz="0" w:space="0" w:color="auto"/>
            <w:right w:val="none" w:sz="0" w:space="0" w:color="auto"/>
          </w:divBdr>
        </w:div>
        <w:div w:id="790249465">
          <w:marLeft w:val="0"/>
          <w:marRight w:val="0"/>
          <w:marTop w:val="0"/>
          <w:marBottom w:val="0"/>
          <w:divBdr>
            <w:top w:val="none" w:sz="0" w:space="0" w:color="auto"/>
            <w:left w:val="none" w:sz="0" w:space="0" w:color="auto"/>
            <w:bottom w:val="none" w:sz="0" w:space="0" w:color="auto"/>
            <w:right w:val="none" w:sz="0" w:space="0" w:color="auto"/>
          </w:divBdr>
        </w:div>
        <w:div w:id="1137987689">
          <w:marLeft w:val="0"/>
          <w:marRight w:val="0"/>
          <w:marTop w:val="0"/>
          <w:marBottom w:val="0"/>
          <w:divBdr>
            <w:top w:val="none" w:sz="0" w:space="0" w:color="auto"/>
            <w:left w:val="none" w:sz="0" w:space="0" w:color="auto"/>
            <w:bottom w:val="none" w:sz="0" w:space="0" w:color="auto"/>
            <w:right w:val="none" w:sz="0" w:space="0" w:color="auto"/>
          </w:divBdr>
        </w:div>
        <w:div w:id="1777747650">
          <w:marLeft w:val="0"/>
          <w:marRight w:val="0"/>
          <w:marTop w:val="0"/>
          <w:marBottom w:val="0"/>
          <w:divBdr>
            <w:top w:val="none" w:sz="0" w:space="0" w:color="auto"/>
            <w:left w:val="none" w:sz="0" w:space="0" w:color="auto"/>
            <w:bottom w:val="none" w:sz="0" w:space="0" w:color="auto"/>
            <w:right w:val="none" w:sz="0" w:space="0" w:color="auto"/>
          </w:divBdr>
        </w:div>
      </w:divsChild>
    </w:div>
    <w:div w:id="1681811753">
      <w:bodyDiv w:val="1"/>
      <w:marLeft w:val="0"/>
      <w:marRight w:val="0"/>
      <w:marTop w:val="0"/>
      <w:marBottom w:val="0"/>
      <w:divBdr>
        <w:top w:val="none" w:sz="0" w:space="0" w:color="auto"/>
        <w:left w:val="none" w:sz="0" w:space="0" w:color="auto"/>
        <w:bottom w:val="none" w:sz="0" w:space="0" w:color="auto"/>
        <w:right w:val="none" w:sz="0" w:space="0" w:color="auto"/>
      </w:divBdr>
      <w:divsChild>
        <w:div w:id="594870457">
          <w:marLeft w:val="0"/>
          <w:marRight w:val="0"/>
          <w:marTop w:val="0"/>
          <w:marBottom w:val="0"/>
          <w:divBdr>
            <w:top w:val="none" w:sz="0" w:space="0" w:color="auto"/>
            <w:left w:val="none" w:sz="0" w:space="0" w:color="auto"/>
            <w:bottom w:val="none" w:sz="0" w:space="0" w:color="auto"/>
            <w:right w:val="none" w:sz="0" w:space="0" w:color="auto"/>
          </w:divBdr>
        </w:div>
        <w:div w:id="702443220">
          <w:marLeft w:val="0"/>
          <w:marRight w:val="0"/>
          <w:marTop w:val="0"/>
          <w:marBottom w:val="0"/>
          <w:divBdr>
            <w:top w:val="none" w:sz="0" w:space="0" w:color="auto"/>
            <w:left w:val="none" w:sz="0" w:space="0" w:color="auto"/>
            <w:bottom w:val="none" w:sz="0" w:space="0" w:color="auto"/>
            <w:right w:val="none" w:sz="0" w:space="0" w:color="auto"/>
          </w:divBdr>
        </w:div>
        <w:div w:id="817843302">
          <w:marLeft w:val="0"/>
          <w:marRight w:val="0"/>
          <w:marTop w:val="0"/>
          <w:marBottom w:val="0"/>
          <w:divBdr>
            <w:top w:val="none" w:sz="0" w:space="0" w:color="auto"/>
            <w:left w:val="none" w:sz="0" w:space="0" w:color="auto"/>
            <w:bottom w:val="none" w:sz="0" w:space="0" w:color="auto"/>
            <w:right w:val="none" w:sz="0" w:space="0" w:color="auto"/>
          </w:divBdr>
        </w:div>
        <w:div w:id="999767907">
          <w:marLeft w:val="0"/>
          <w:marRight w:val="0"/>
          <w:marTop w:val="0"/>
          <w:marBottom w:val="0"/>
          <w:divBdr>
            <w:top w:val="none" w:sz="0" w:space="0" w:color="auto"/>
            <w:left w:val="none" w:sz="0" w:space="0" w:color="auto"/>
            <w:bottom w:val="none" w:sz="0" w:space="0" w:color="auto"/>
            <w:right w:val="none" w:sz="0" w:space="0" w:color="auto"/>
          </w:divBdr>
        </w:div>
        <w:div w:id="1297955148">
          <w:marLeft w:val="0"/>
          <w:marRight w:val="0"/>
          <w:marTop w:val="0"/>
          <w:marBottom w:val="0"/>
          <w:divBdr>
            <w:top w:val="none" w:sz="0" w:space="0" w:color="auto"/>
            <w:left w:val="none" w:sz="0" w:space="0" w:color="auto"/>
            <w:bottom w:val="none" w:sz="0" w:space="0" w:color="auto"/>
            <w:right w:val="none" w:sz="0" w:space="0" w:color="auto"/>
          </w:divBdr>
        </w:div>
        <w:div w:id="1897162450">
          <w:marLeft w:val="0"/>
          <w:marRight w:val="0"/>
          <w:marTop w:val="0"/>
          <w:marBottom w:val="0"/>
          <w:divBdr>
            <w:top w:val="none" w:sz="0" w:space="0" w:color="auto"/>
            <w:left w:val="none" w:sz="0" w:space="0" w:color="auto"/>
            <w:bottom w:val="none" w:sz="0" w:space="0" w:color="auto"/>
            <w:right w:val="none" w:sz="0" w:space="0" w:color="auto"/>
          </w:divBdr>
        </w:div>
      </w:divsChild>
    </w:div>
    <w:div w:id="1704865751">
      <w:bodyDiv w:val="1"/>
      <w:marLeft w:val="0"/>
      <w:marRight w:val="0"/>
      <w:marTop w:val="0"/>
      <w:marBottom w:val="0"/>
      <w:divBdr>
        <w:top w:val="none" w:sz="0" w:space="0" w:color="auto"/>
        <w:left w:val="none" w:sz="0" w:space="0" w:color="auto"/>
        <w:bottom w:val="none" w:sz="0" w:space="0" w:color="auto"/>
        <w:right w:val="none" w:sz="0" w:space="0" w:color="auto"/>
      </w:divBdr>
    </w:div>
    <w:div w:id="1759058750">
      <w:bodyDiv w:val="1"/>
      <w:marLeft w:val="0"/>
      <w:marRight w:val="0"/>
      <w:marTop w:val="0"/>
      <w:marBottom w:val="0"/>
      <w:divBdr>
        <w:top w:val="none" w:sz="0" w:space="0" w:color="auto"/>
        <w:left w:val="none" w:sz="0" w:space="0" w:color="auto"/>
        <w:bottom w:val="none" w:sz="0" w:space="0" w:color="auto"/>
        <w:right w:val="none" w:sz="0" w:space="0" w:color="auto"/>
      </w:divBdr>
      <w:divsChild>
        <w:div w:id="332143794">
          <w:marLeft w:val="0"/>
          <w:marRight w:val="0"/>
          <w:marTop w:val="0"/>
          <w:marBottom w:val="0"/>
          <w:divBdr>
            <w:top w:val="none" w:sz="0" w:space="0" w:color="auto"/>
            <w:left w:val="none" w:sz="0" w:space="0" w:color="auto"/>
            <w:bottom w:val="none" w:sz="0" w:space="0" w:color="auto"/>
            <w:right w:val="none" w:sz="0" w:space="0" w:color="auto"/>
          </w:divBdr>
        </w:div>
        <w:div w:id="612129379">
          <w:marLeft w:val="0"/>
          <w:marRight w:val="0"/>
          <w:marTop w:val="0"/>
          <w:marBottom w:val="0"/>
          <w:divBdr>
            <w:top w:val="none" w:sz="0" w:space="0" w:color="auto"/>
            <w:left w:val="none" w:sz="0" w:space="0" w:color="auto"/>
            <w:bottom w:val="none" w:sz="0" w:space="0" w:color="auto"/>
            <w:right w:val="none" w:sz="0" w:space="0" w:color="auto"/>
          </w:divBdr>
        </w:div>
        <w:div w:id="722949112">
          <w:marLeft w:val="0"/>
          <w:marRight w:val="0"/>
          <w:marTop w:val="0"/>
          <w:marBottom w:val="0"/>
          <w:divBdr>
            <w:top w:val="none" w:sz="0" w:space="0" w:color="auto"/>
            <w:left w:val="none" w:sz="0" w:space="0" w:color="auto"/>
            <w:bottom w:val="none" w:sz="0" w:space="0" w:color="auto"/>
            <w:right w:val="none" w:sz="0" w:space="0" w:color="auto"/>
          </w:divBdr>
        </w:div>
        <w:div w:id="796338826">
          <w:marLeft w:val="0"/>
          <w:marRight w:val="0"/>
          <w:marTop w:val="0"/>
          <w:marBottom w:val="0"/>
          <w:divBdr>
            <w:top w:val="none" w:sz="0" w:space="0" w:color="auto"/>
            <w:left w:val="none" w:sz="0" w:space="0" w:color="auto"/>
            <w:bottom w:val="none" w:sz="0" w:space="0" w:color="auto"/>
            <w:right w:val="none" w:sz="0" w:space="0" w:color="auto"/>
          </w:divBdr>
        </w:div>
        <w:div w:id="1480657937">
          <w:marLeft w:val="0"/>
          <w:marRight w:val="0"/>
          <w:marTop w:val="0"/>
          <w:marBottom w:val="0"/>
          <w:divBdr>
            <w:top w:val="none" w:sz="0" w:space="0" w:color="auto"/>
            <w:left w:val="none" w:sz="0" w:space="0" w:color="auto"/>
            <w:bottom w:val="none" w:sz="0" w:space="0" w:color="auto"/>
            <w:right w:val="none" w:sz="0" w:space="0" w:color="auto"/>
          </w:divBdr>
        </w:div>
        <w:div w:id="190306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21F6B-2846-43F3-8BC4-FEFC719D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868</Words>
  <Characters>4951</Characters>
  <Application>Microsoft Office Word</Application>
  <DocSecurity>0</DocSecurity>
  <Lines>41</Lines>
  <Paragraphs>11</Paragraphs>
  <ScaleCrop>false</ScaleCrop>
  <HeadingPairs>
    <vt:vector size="8" baseType="variant">
      <vt:variant>
        <vt:lpstr>Titel</vt:lpstr>
      </vt:variant>
      <vt:variant>
        <vt:i4>1</vt:i4>
      </vt:variant>
      <vt:variant>
        <vt:lpstr>Title</vt:lpstr>
      </vt:variant>
      <vt:variant>
        <vt:i4>1</vt:i4>
      </vt:variant>
      <vt:variant>
        <vt:lpstr>Rubrik</vt:lpstr>
      </vt:variant>
      <vt:variant>
        <vt:i4>1</vt:i4>
      </vt:variant>
      <vt:variant>
        <vt:lpstr>Titre</vt:lpstr>
      </vt:variant>
      <vt:variant>
        <vt:i4>1</vt:i4>
      </vt:variant>
    </vt:vector>
  </HeadingPairs>
  <TitlesOfParts>
    <vt:vector size="4" baseType="lpstr">
      <vt:lpstr>Conference title, upper and lower case, bolded, 18 point type, centered</vt:lpstr>
      <vt:lpstr>Conference title, upper and lower case, bolded, 18 point type, centered</vt:lpstr>
      <vt:lpstr>Conference title, upper and lower case, bolded, 18 point type, centered</vt:lpstr>
      <vt:lpstr>Conference title, upper and lower case, bolded, 18 point type, centered</vt:lpstr>
    </vt:vector>
  </TitlesOfParts>
  <Company>Optical Society of America</Company>
  <LinksUpToDate>false</LinksUpToDate>
  <CharactersWithSpaces>5808</CharactersWithSpaces>
  <SharedDoc>false</SharedDoc>
  <HLinks>
    <vt:vector size="12" baseType="variant">
      <vt:variant>
        <vt:i4>917575</vt:i4>
      </vt:variant>
      <vt:variant>
        <vt:i4>3</vt:i4>
      </vt:variant>
      <vt:variant>
        <vt:i4>0</vt:i4>
      </vt:variant>
      <vt:variant>
        <vt:i4>5</vt:i4>
      </vt:variant>
      <vt:variant>
        <vt:lpwstr>http://www.osapublishing.org/submit/ocis/</vt:lpwstr>
      </vt:variant>
      <vt:variant>
        <vt:lpwstr/>
      </vt:variant>
      <vt:variant>
        <vt:i4>327800</vt:i4>
      </vt:variant>
      <vt:variant>
        <vt:i4>0</vt:i4>
      </vt:variant>
      <vt:variant>
        <vt:i4>0</vt:i4>
      </vt:variant>
      <vt:variant>
        <vt:i4>5</vt:i4>
      </vt:variant>
      <vt:variant>
        <vt:lpwstr>mailto:smaktoob@femto-st.fr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title, upper and lower case, bolded, 18 point type, centered</dc:title>
  <dc:subject/>
  <dc:creator>Optical Society of America</dc:creator>
  <cp:keywords/>
  <cp:lastModifiedBy>Grenmyr, Andreas</cp:lastModifiedBy>
  <cp:revision>5</cp:revision>
  <cp:lastPrinted>2023-03-27T12:30:00Z</cp:lastPrinted>
  <dcterms:created xsi:type="dcterms:W3CDTF">2023-03-31T10:53:00Z</dcterms:created>
  <dcterms:modified xsi:type="dcterms:W3CDTF">2023-03-31T11:16:00Z</dcterms:modified>
</cp:coreProperties>
</file>